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9B929">
      <w:pPr>
        <w:spacing w:line="360" w:lineRule="auto"/>
        <w:jc w:val="center"/>
        <w:rPr>
          <w:rFonts w:ascii="仿宋_GB2312" w:hAnsi="仿宋" w:eastAsia="仿宋_GB2312"/>
          <w:color w:val="000000" w:themeColor="text1"/>
          <w:szCs w:val="21"/>
        </w:rPr>
      </w:pPr>
    </w:p>
    <w:p w14:paraId="554E5787">
      <w:pPr>
        <w:spacing w:line="360" w:lineRule="auto"/>
        <w:jc w:val="center"/>
        <w:rPr>
          <w:rFonts w:ascii="仿宋_GB2312" w:hAnsi="仿宋" w:eastAsia="仿宋_GB2312"/>
          <w:color w:val="000000" w:themeColor="text1"/>
          <w:szCs w:val="21"/>
        </w:rPr>
      </w:pPr>
    </w:p>
    <w:p w14:paraId="612BFF0A">
      <w:pPr>
        <w:spacing w:line="360" w:lineRule="auto"/>
        <w:jc w:val="center"/>
        <w:rPr>
          <w:rFonts w:ascii="仿宋_GB2312" w:hAnsi="仿宋" w:eastAsia="仿宋_GB2312"/>
          <w:color w:val="000000" w:themeColor="text1"/>
          <w:szCs w:val="21"/>
        </w:rPr>
      </w:pPr>
    </w:p>
    <w:p w14:paraId="6B1BF79B">
      <w:pPr>
        <w:spacing w:line="360" w:lineRule="auto"/>
        <w:ind w:firstLine="261" w:firstLineChars="50"/>
        <w:jc w:val="center"/>
        <w:rPr>
          <w:rFonts w:ascii="仿宋_GB2312" w:hAnsi="仿宋_GB2312" w:eastAsia="仿宋_GB2312" w:cs="仿宋_GB2312"/>
          <w:b/>
          <w:color w:val="000000" w:themeColor="text1"/>
          <w:sz w:val="52"/>
          <w:szCs w:val="52"/>
        </w:rPr>
      </w:pPr>
      <w:r>
        <w:rPr>
          <w:rFonts w:hint="eastAsia" w:ascii="仿宋_GB2312" w:hAnsi="仿宋_GB2312" w:eastAsia="仿宋_GB2312" w:cs="仿宋_GB2312"/>
          <w:b/>
          <w:color w:val="000000" w:themeColor="text1"/>
          <w:sz w:val="52"/>
          <w:szCs w:val="52"/>
        </w:rPr>
        <w:t>非政府采购项目</w:t>
      </w:r>
    </w:p>
    <w:p w14:paraId="1E615D0B">
      <w:pPr>
        <w:spacing w:line="360" w:lineRule="auto"/>
        <w:ind w:firstLine="120" w:firstLineChars="50"/>
        <w:jc w:val="center"/>
        <w:rPr>
          <w:rFonts w:ascii="仿宋_GB2312" w:hAnsi="仿宋_GB2312" w:eastAsia="仿宋_GB2312" w:cs="仿宋_GB2312"/>
          <w:b/>
          <w:color w:val="000000" w:themeColor="text1"/>
          <w:sz w:val="24"/>
        </w:rPr>
      </w:pPr>
    </w:p>
    <w:p w14:paraId="627A5BEF">
      <w:pPr>
        <w:spacing w:line="480" w:lineRule="exact"/>
        <w:jc w:val="center"/>
        <w:rPr>
          <w:rFonts w:ascii="仿宋_GB2312" w:hAnsi="仿宋_GB2312" w:eastAsia="仿宋_GB2312" w:cs="仿宋_GB2312"/>
          <w:b/>
          <w:color w:val="000000" w:themeColor="text1"/>
          <w:sz w:val="48"/>
          <w:szCs w:val="48"/>
        </w:rPr>
      </w:pPr>
      <w:r>
        <w:rPr>
          <w:rFonts w:hint="eastAsia" w:ascii="仿宋_GB2312" w:hAnsi="仿宋_GB2312" w:eastAsia="仿宋_GB2312" w:cs="仿宋_GB2312"/>
          <w:b/>
          <w:color w:val="000000" w:themeColor="text1"/>
          <w:sz w:val="48"/>
          <w:szCs w:val="48"/>
        </w:rPr>
        <w:t>服务类</w:t>
      </w:r>
      <w:r>
        <w:rPr>
          <w:rFonts w:ascii="仿宋_GB2312" w:hAnsi="仿宋_GB2312" w:eastAsia="仿宋_GB2312" w:cs="仿宋_GB2312"/>
          <w:b/>
          <w:color w:val="000000" w:themeColor="text1"/>
          <w:sz w:val="48"/>
          <w:szCs w:val="48"/>
        </w:rPr>
        <w:t>采购文件</w:t>
      </w:r>
    </w:p>
    <w:p w14:paraId="1773311F">
      <w:pPr>
        <w:spacing w:line="480" w:lineRule="exact"/>
        <w:jc w:val="center"/>
        <w:rPr>
          <w:rFonts w:ascii="仿宋_GB2312" w:hAnsi="仿宋_GB2312" w:eastAsia="仿宋_GB2312" w:cs="仿宋_GB2312"/>
          <w:b/>
          <w:color w:val="000000" w:themeColor="text1"/>
          <w:sz w:val="24"/>
        </w:rPr>
      </w:pPr>
    </w:p>
    <w:p w14:paraId="408C1397">
      <w:pPr>
        <w:spacing w:line="480" w:lineRule="exact"/>
        <w:jc w:val="center"/>
        <w:rPr>
          <w:rFonts w:ascii="仿宋_GB2312" w:hAnsi="仿宋_GB2312" w:eastAsia="仿宋_GB2312" w:cs="仿宋_GB2312"/>
          <w:b/>
          <w:color w:val="000000" w:themeColor="text1"/>
          <w:sz w:val="24"/>
        </w:rPr>
      </w:pPr>
    </w:p>
    <w:p w14:paraId="595F63F6">
      <w:pPr>
        <w:spacing w:line="480" w:lineRule="exact"/>
        <w:jc w:val="center"/>
        <w:rPr>
          <w:rFonts w:ascii="仿宋_GB2312" w:hAnsi="仿宋_GB2312" w:eastAsia="仿宋_GB2312" w:cs="仿宋_GB2312"/>
          <w:b/>
          <w:color w:val="000000" w:themeColor="text1"/>
          <w:sz w:val="24"/>
        </w:rPr>
      </w:pPr>
    </w:p>
    <w:p w14:paraId="0140AAA6">
      <w:pPr>
        <w:spacing w:line="480" w:lineRule="exact"/>
        <w:jc w:val="center"/>
        <w:rPr>
          <w:rFonts w:ascii="仿宋_GB2312" w:hAnsi="仿宋_GB2312" w:eastAsia="仿宋_GB2312" w:cs="仿宋_GB2312"/>
          <w:b/>
          <w:color w:val="000000" w:themeColor="text1"/>
          <w:sz w:val="24"/>
        </w:rPr>
      </w:pPr>
    </w:p>
    <w:p w14:paraId="43D3BD39">
      <w:pPr>
        <w:spacing w:line="480" w:lineRule="exact"/>
        <w:jc w:val="center"/>
        <w:rPr>
          <w:rFonts w:ascii="仿宋_GB2312" w:hAnsi="仿宋_GB2312" w:eastAsia="仿宋_GB2312" w:cs="仿宋_GB2312"/>
          <w:b/>
          <w:color w:val="000000" w:themeColor="text1"/>
          <w:sz w:val="24"/>
        </w:rPr>
      </w:pPr>
    </w:p>
    <w:p w14:paraId="1C312A95">
      <w:pPr>
        <w:spacing w:line="480" w:lineRule="exact"/>
        <w:jc w:val="center"/>
        <w:rPr>
          <w:rFonts w:ascii="仿宋_GB2312" w:hAnsi="仿宋_GB2312" w:eastAsia="仿宋_GB2312" w:cs="仿宋_GB2312"/>
          <w:b/>
          <w:color w:val="000000" w:themeColor="text1"/>
          <w:sz w:val="24"/>
        </w:rPr>
      </w:pPr>
    </w:p>
    <w:p w14:paraId="6080FBF1">
      <w:pPr>
        <w:spacing w:line="480" w:lineRule="exact"/>
        <w:jc w:val="center"/>
        <w:rPr>
          <w:rFonts w:ascii="仿宋_GB2312" w:hAnsi="仿宋_GB2312" w:eastAsia="仿宋_GB2312" w:cs="仿宋_GB2312"/>
          <w:b/>
          <w:color w:val="000000" w:themeColor="text1"/>
          <w:sz w:val="24"/>
        </w:rPr>
      </w:pPr>
    </w:p>
    <w:p w14:paraId="0BE3EC4F">
      <w:pPr>
        <w:spacing w:line="480" w:lineRule="exact"/>
        <w:jc w:val="center"/>
        <w:rPr>
          <w:rFonts w:ascii="仿宋_GB2312" w:hAnsi="仿宋_GB2312" w:eastAsia="仿宋_GB2312" w:cs="仿宋_GB2312"/>
          <w:b/>
          <w:color w:val="000000" w:themeColor="text1"/>
          <w:sz w:val="24"/>
        </w:rPr>
      </w:pPr>
    </w:p>
    <w:p w14:paraId="7039FCA9">
      <w:pPr>
        <w:spacing w:line="360" w:lineRule="auto"/>
        <w:ind w:firstLine="849" w:firstLineChars="235"/>
        <w:rPr>
          <w:rFonts w:ascii="仿宋_GB2312" w:hAnsi="仿宋_GB2312" w:eastAsia="仿宋_GB2312" w:cs="仿宋_GB2312"/>
          <w:b/>
          <w:color w:val="000000" w:themeColor="text1"/>
          <w:sz w:val="36"/>
          <w:szCs w:val="36"/>
        </w:rPr>
      </w:pPr>
      <w:r>
        <w:rPr>
          <w:rFonts w:hint="eastAsia" w:ascii="仿宋_GB2312" w:hAnsi="仿宋_GB2312" w:eastAsia="仿宋_GB2312" w:cs="仿宋_GB2312"/>
          <w:b/>
          <w:color w:val="000000" w:themeColor="text1"/>
          <w:sz w:val="36"/>
          <w:szCs w:val="36"/>
        </w:rPr>
        <w:t>项目名称：</w:t>
      </w:r>
      <w:r>
        <w:rPr>
          <w:rFonts w:ascii="仿宋_GB2312" w:hAnsi="仿宋_GB2312" w:eastAsia="仿宋_GB2312" w:cs="仿宋_GB2312"/>
          <w:b/>
          <w:color w:val="000000" w:themeColor="text1"/>
          <w:sz w:val="36"/>
          <w:szCs w:val="36"/>
        </w:rPr>
        <w:t>本溪市教育系统校园自有食堂餐饮服务管理</w:t>
      </w:r>
    </w:p>
    <w:p w14:paraId="7AADA133">
      <w:pPr>
        <w:spacing w:line="360" w:lineRule="auto"/>
        <w:ind w:firstLine="849" w:firstLineChars="235"/>
        <w:rPr>
          <w:rFonts w:ascii="仿宋_GB2312" w:hAnsi="仿宋_GB2312" w:eastAsia="仿宋_GB2312" w:cs="仿宋_GB2312"/>
          <w:b/>
          <w:color w:val="000000" w:themeColor="text1"/>
          <w:sz w:val="36"/>
          <w:szCs w:val="36"/>
        </w:rPr>
      </w:pPr>
    </w:p>
    <w:p w14:paraId="61E4D5D4">
      <w:pPr>
        <w:spacing w:line="360" w:lineRule="auto"/>
        <w:ind w:firstLine="849" w:firstLineChars="235"/>
        <w:rPr>
          <w:rFonts w:ascii="仿宋_GB2312" w:hAnsi="仿宋_GB2312" w:eastAsia="仿宋_GB2312" w:cs="仿宋_GB2312"/>
          <w:b/>
          <w:color w:val="000000" w:themeColor="text1"/>
          <w:sz w:val="36"/>
          <w:szCs w:val="36"/>
        </w:rPr>
      </w:pPr>
      <w:r>
        <w:rPr>
          <w:rFonts w:hint="eastAsia" w:ascii="仿宋_GB2312" w:hAnsi="仿宋_GB2312" w:eastAsia="仿宋_GB2312" w:cs="仿宋_GB2312"/>
          <w:b/>
          <w:color w:val="000000" w:themeColor="text1"/>
          <w:sz w:val="36"/>
          <w:szCs w:val="36"/>
        </w:rPr>
        <w:t>项目编号：</w:t>
      </w:r>
      <w:r>
        <w:rPr>
          <w:rFonts w:ascii="仿宋_GB2312" w:hAnsi="仿宋_GB2312" w:eastAsia="仿宋_GB2312" w:cs="仿宋_GB2312"/>
          <w:b/>
          <w:color w:val="000000" w:themeColor="text1"/>
          <w:sz w:val="36"/>
          <w:szCs w:val="36"/>
        </w:rPr>
        <w:t>BXFS20260129-1</w:t>
      </w:r>
    </w:p>
    <w:p w14:paraId="15D14941">
      <w:pPr>
        <w:spacing w:line="360" w:lineRule="auto"/>
        <w:ind w:firstLine="849" w:firstLineChars="235"/>
        <w:rPr>
          <w:rFonts w:ascii="仿宋_GB2312" w:hAnsi="仿宋_GB2312" w:eastAsia="仿宋_GB2312" w:cs="仿宋_GB2312"/>
          <w:b/>
          <w:color w:val="000000" w:themeColor="text1"/>
          <w:sz w:val="36"/>
          <w:szCs w:val="36"/>
        </w:rPr>
      </w:pPr>
      <w:r>
        <w:rPr>
          <w:rFonts w:hint="eastAsia" w:ascii="仿宋_GB2312" w:hAnsi="仿宋_GB2312" w:eastAsia="仿宋_GB2312" w:cs="仿宋_GB2312"/>
          <w:b/>
          <w:color w:val="000000" w:themeColor="text1"/>
          <w:sz w:val="36"/>
          <w:szCs w:val="36"/>
        </w:rPr>
        <w:t>编制单位：本溪市</w:t>
      </w:r>
      <w:r>
        <w:rPr>
          <w:rFonts w:ascii="仿宋_GB2312" w:hAnsi="仿宋_GB2312" w:eastAsia="仿宋_GB2312" w:cs="仿宋_GB2312"/>
          <w:b/>
          <w:color w:val="000000" w:themeColor="text1"/>
          <w:sz w:val="36"/>
          <w:szCs w:val="36"/>
        </w:rPr>
        <w:t>公共资源交易中心</w:t>
      </w:r>
    </w:p>
    <w:p w14:paraId="31017DA1">
      <w:pPr>
        <w:spacing w:line="360" w:lineRule="auto"/>
        <w:ind w:firstLine="2476" w:firstLineChars="685"/>
        <w:rPr>
          <w:rFonts w:ascii="仿宋_GB2312" w:hAnsi="仿宋_GB2312" w:eastAsia="仿宋_GB2312" w:cs="仿宋_GB2312"/>
          <w:b/>
          <w:color w:val="000000" w:themeColor="text1"/>
          <w:sz w:val="36"/>
          <w:szCs w:val="36"/>
        </w:rPr>
      </w:pPr>
      <w:r>
        <w:rPr>
          <w:rFonts w:hint="eastAsia" w:ascii="仿宋_GB2312" w:hAnsi="仿宋_GB2312" w:eastAsia="仿宋_GB2312" w:cs="仿宋_GB2312"/>
          <w:b/>
          <w:color w:val="000000" w:themeColor="text1"/>
          <w:sz w:val="36"/>
          <w:szCs w:val="36"/>
        </w:rPr>
        <w:t>（本溪市政府采购</w:t>
      </w:r>
      <w:r>
        <w:rPr>
          <w:rFonts w:ascii="仿宋_GB2312" w:hAnsi="仿宋_GB2312" w:eastAsia="仿宋_GB2312" w:cs="仿宋_GB2312"/>
          <w:b/>
          <w:color w:val="000000" w:themeColor="text1"/>
          <w:sz w:val="36"/>
          <w:szCs w:val="36"/>
        </w:rPr>
        <w:t>中心</w:t>
      </w:r>
      <w:r>
        <w:rPr>
          <w:rFonts w:hint="eastAsia" w:ascii="仿宋_GB2312" w:hAnsi="仿宋_GB2312" w:eastAsia="仿宋_GB2312" w:cs="仿宋_GB2312"/>
          <w:b/>
          <w:color w:val="000000" w:themeColor="text1"/>
          <w:sz w:val="36"/>
          <w:szCs w:val="36"/>
        </w:rPr>
        <w:t>）</w:t>
      </w:r>
    </w:p>
    <w:p w14:paraId="4288B3A2">
      <w:pPr>
        <w:pStyle w:val="13"/>
        <w:spacing w:line="360" w:lineRule="auto"/>
        <w:rPr>
          <w:rFonts w:hint="default" w:ascii="仿宋_GB2312" w:hAnsi="仿宋" w:eastAsia="仿宋_GB2312"/>
          <w:b/>
          <w:color w:val="000000" w:themeColor="text1"/>
          <w:sz w:val="36"/>
          <w:szCs w:val="36"/>
        </w:rPr>
      </w:pPr>
    </w:p>
    <w:p w14:paraId="17809348">
      <w:pPr>
        <w:pStyle w:val="13"/>
        <w:spacing w:line="360" w:lineRule="auto"/>
        <w:rPr>
          <w:rFonts w:hint="default" w:ascii="仿宋_GB2312" w:hAnsi="仿宋" w:eastAsia="仿宋_GB2312"/>
          <w:b/>
          <w:color w:val="000000" w:themeColor="text1"/>
          <w:sz w:val="36"/>
          <w:szCs w:val="36"/>
        </w:rPr>
      </w:pPr>
    </w:p>
    <w:p w14:paraId="1CE02E0D">
      <w:pPr>
        <w:pStyle w:val="13"/>
        <w:spacing w:line="360" w:lineRule="auto"/>
        <w:rPr>
          <w:rFonts w:hint="default" w:ascii="仿宋_GB2312" w:hAnsi="仿宋" w:eastAsia="仿宋_GB2312"/>
          <w:b/>
          <w:color w:val="000000" w:themeColor="text1"/>
          <w:sz w:val="21"/>
          <w:szCs w:val="21"/>
        </w:rPr>
      </w:pPr>
    </w:p>
    <w:p w14:paraId="209DDBAA">
      <w:pPr>
        <w:pStyle w:val="13"/>
        <w:spacing w:line="360" w:lineRule="auto"/>
        <w:rPr>
          <w:rFonts w:hint="default" w:ascii="仿宋_GB2312" w:hAnsi="仿宋" w:eastAsia="仿宋_GB2312"/>
          <w:b/>
          <w:color w:val="000000" w:themeColor="text1"/>
          <w:sz w:val="21"/>
          <w:szCs w:val="21"/>
        </w:rPr>
      </w:pPr>
    </w:p>
    <w:p w14:paraId="65E9DFE0">
      <w:pPr>
        <w:pStyle w:val="13"/>
        <w:spacing w:line="360" w:lineRule="auto"/>
        <w:rPr>
          <w:rFonts w:hint="default" w:ascii="仿宋_GB2312" w:hAnsi="仿宋" w:eastAsia="仿宋_GB2312"/>
          <w:color w:val="000000" w:themeColor="text1"/>
          <w:sz w:val="21"/>
          <w:szCs w:val="21"/>
        </w:rPr>
      </w:pPr>
    </w:p>
    <w:p w14:paraId="0127D9DC">
      <w:pPr>
        <w:pStyle w:val="23"/>
        <w:jc w:val="center"/>
        <w:rPr>
          <w:rFonts w:ascii="仿宋_GB2312" w:hAnsi="仿宋_GB2312" w:eastAsia="仿宋_GB2312" w:cs="仿宋_GB2312"/>
          <w:color w:val="000000" w:themeColor="text1"/>
          <w:kern w:val="0"/>
          <w:lang w:val="zh-CN"/>
        </w:rPr>
      </w:pPr>
      <w:r>
        <w:rPr>
          <w:rFonts w:ascii="仿宋_GB2312" w:hAnsi="仿宋" w:eastAsia="仿宋_GB2312"/>
          <w:color w:val="000000" w:themeColor="text1"/>
          <w:sz w:val="21"/>
          <w:szCs w:val="21"/>
        </w:rPr>
        <w:br w:type="page"/>
      </w:r>
      <w:bookmarkStart w:id="0" w:name="_Toc1156"/>
      <w:r>
        <w:rPr>
          <w:rFonts w:hint="eastAsia" w:ascii="仿宋_GB2312" w:hAnsi="仿宋_GB2312" w:eastAsia="仿宋_GB2312" w:cs="仿宋_GB2312"/>
          <w:color w:val="000000" w:themeColor="text1"/>
          <w:kern w:val="0"/>
          <w:lang w:val="zh-CN"/>
        </w:rPr>
        <w:t>目  录</w:t>
      </w:r>
      <w:bookmarkEnd w:id="0"/>
    </w:p>
    <w:p w14:paraId="740A6605">
      <w:pPr>
        <w:rPr>
          <w:rFonts w:ascii="仿宋_GB2312" w:hAnsi="仿宋_GB2312" w:eastAsia="仿宋_GB2312" w:cs="仿宋_GB2312"/>
          <w:color w:val="000000" w:themeColor="text1"/>
          <w:lang w:val="zh-CN"/>
        </w:rPr>
      </w:pPr>
    </w:p>
    <w:p w14:paraId="695015F8">
      <w:pPr>
        <w:tabs>
          <w:tab w:val="right" w:leader="dot" w:pos="8300"/>
        </w:tabs>
        <w:spacing w:line="480" w:lineRule="auto"/>
        <w:rPr>
          <w:rFonts w:ascii="仿宋_GB2312" w:hAnsi="仿宋_GB2312" w:eastAsia="仿宋_GB2312" w:cs="仿宋_GB2312"/>
          <w:b/>
          <w:bCs/>
          <w:color w:val="000000" w:themeColor="text1"/>
          <w:sz w:val="24"/>
        </w:rPr>
      </w:pPr>
      <w:r>
        <w:rPr>
          <w:rFonts w:hint="eastAsia" w:ascii="仿宋_GB2312" w:hAnsi="仿宋_GB2312" w:eastAsia="仿宋_GB2312" w:cs="仿宋_GB2312"/>
          <w:b/>
          <w:bCs/>
          <w:color w:val="000000" w:themeColor="text1"/>
          <w:sz w:val="24"/>
        </w:rPr>
        <w:fldChar w:fldCharType="begin"/>
      </w:r>
      <w:r>
        <w:rPr>
          <w:rFonts w:hint="eastAsia" w:ascii="仿宋_GB2312" w:hAnsi="仿宋_GB2312" w:eastAsia="仿宋_GB2312" w:cs="仿宋_GB2312"/>
          <w:b/>
          <w:bCs/>
          <w:color w:val="000000" w:themeColor="text1"/>
          <w:sz w:val="24"/>
        </w:rPr>
        <w:instrText xml:space="preserve">TOC \o "1-1" \h \u </w:instrText>
      </w:r>
      <w:r>
        <w:rPr>
          <w:rFonts w:hint="eastAsia" w:ascii="仿宋_GB2312" w:hAnsi="仿宋_GB2312" w:eastAsia="仿宋_GB2312" w:cs="仿宋_GB2312"/>
          <w:b/>
          <w:bCs/>
          <w:color w:val="000000" w:themeColor="text1"/>
          <w:sz w:val="24"/>
        </w:rPr>
        <w:fldChar w:fldCharType="separate"/>
      </w:r>
      <w:r>
        <w:fldChar w:fldCharType="begin"/>
      </w:r>
      <w:r>
        <w:instrText xml:space="preserve"> HYPERLINK \l "_Toc13820" </w:instrText>
      </w:r>
      <w:r>
        <w:fldChar w:fldCharType="separate"/>
      </w:r>
      <w:r>
        <w:fldChar w:fldCharType="end"/>
      </w:r>
    </w:p>
    <w:p w14:paraId="20079F1E">
      <w:pPr>
        <w:tabs>
          <w:tab w:val="right" w:leader="dot" w:pos="8300"/>
        </w:tabs>
        <w:spacing w:line="480" w:lineRule="auto"/>
        <w:rPr>
          <w:rFonts w:ascii="仿宋_GB2312" w:hAnsi="仿宋_GB2312" w:eastAsia="仿宋_GB2312" w:cs="仿宋_GB2312"/>
          <w:b/>
          <w:bCs/>
          <w:color w:val="000000" w:themeColor="text1"/>
          <w:sz w:val="24"/>
        </w:rPr>
      </w:pPr>
      <w:r>
        <w:fldChar w:fldCharType="begin"/>
      </w:r>
      <w:r>
        <w:instrText xml:space="preserve"> HYPERLINK \l "_Toc9645" </w:instrText>
      </w:r>
      <w:r>
        <w:fldChar w:fldCharType="separate"/>
      </w:r>
      <w:r>
        <w:rPr>
          <w:rStyle w:val="12"/>
          <w:rFonts w:hint="eastAsia" w:ascii="仿宋_GB2312" w:hAnsi="仿宋_GB2312" w:eastAsia="仿宋_GB2312" w:cs="仿宋_GB2312"/>
          <w:b/>
          <w:bCs/>
          <w:color w:val="000000" w:themeColor="text1"/>
          <w:sz w:val="24"/>
        </w:rPr>
        <w:t>第一章 采购公告</w:t>
      </w:r>
      <w:r>
        <w:rPr>
          <w:rStyle w:val="12"/>
          <w:rFonts w:hint="eastAsia" w:ascii="仿宋_GB2312" w:hAnsi="仿宋_GB2312" w:eastAsia="仿宋_GB2312" w:cs="仿宋_GB2312"/>
          <w:b/>
          <w:bCs/>
          <w:color w:val="000000" w:themeColor="text1"/>
          <w:sz w:val="24"/>
        </w:rPr>
        <w:tab/>
      </w:r>
      <w:r>
        <w:rPr>
          <w:rStyle w:val="12"/>
          <w:rFonts w:hint="eastAsia" w:ascii="仿宋_GB2312" w:hAnsi="仿宋_GB2312" w:eastAsia="仿宋_GB2312" w:cs="仿宋_GB2312"/>
          <w:b/>
          <w:bCs/>
          <w:color w:val="000000" w:themeColor="text1"/>
          <w:sz w:val="24"/>
        </w:rPr>
        <w:fldChar w:fldCharType="begin"/>
      </w:r>
      <w:r>
        <w:rPr>
          <w:rStyle w:val="12"/>
          <w:rFonts w:hint="eastAsia" w:ascii="仿宋_GB2312" w:hAnsi="仿宋_GB2312" w:eastAsia="仿宋_GB2312" w:cs="仿宋_GB2312"/>
          <w:b/>
          <w:bCs/>
          <w:color w:val="000000" w:themeColor="text1"/>
          <w:sz w:val="24"/>
        </w:rPr>
        <w:instrText xml:space="preserve"> PAGEREF _Toc9645 </w:instrText>
      </w:r>
      <w:r>
        <w:rPr>
          <w:rStyle w:val="12"/>
          <w:rFonts w:hint="eastAsia" w:ascii="仿宋_GB2312" w:hAnsi="仿宋_GB2312" w:eastAsia="仿宋_GB2312" w:cs="仿宋_GB2312"/>
          <w:b/>
          <w:bCs/>
          <w:color w:val="000000" w:themeColor="text1"/>
          <w:sz w:val="24"/>
        </w:rPr>
        <w:fldChar w:fldCharType="separate"/>
      </w:r>
      <w:r>
        <w:rPr>
          <w:rStyle w:val="12"/>
          <w:rFonts w:ascii="仿宋_GB2312" w:hAnsi="仿宋_GB2312" w:eastAsia="仿宋_GB2312" w:cs="仿宋_GB2312"/>
          <w:b/>
          <w:bCs/>
          <w:color w:val="000000" w:themeColor="text1"/>
          <w:sz w:val="24"/>
        </w:rPr>
        <w:t>3</w:t>
      </w:r>
      <w:r>
        <w:rPr>
          <w:rStyle w:val="12"/>
          <w:rFonts w:hint="eastAsia" w:ascii="仿宋_GB2312" w:hAnsi="仿宋_GB2312" w:eastAsia="仿宋_GB2312" w:cs="仿宋_GB2312"/>
          <w:b/>
          <w:bCs/>
          <w:color w:val="000000" w:themeColor="text1"/>
          <w:sz w:val="24"/>
        </w:rPr>
        <w:fldChar w:fldCharType="end"/>
      </w:r>
      <w:r>
        <w:rPr>
          <w:rStyle w:val="12"/>
          <w:rFonts w:hint="eastAsia" w:ascii="仿宋_GB2312" w:hAnsi="仿宋_GB2312" w:eastAsia="仿宋_GB2312" w:cs="仿宋_GB2312"/>
          <w:b/>
          <w:bCs/>
          <w:color w:val="000000" w:themeColor="text1"/>
          <w:sz w:val="24"/>
        </w:rPr>
        <w:fldChar w:fldCharType="end"/>
      </w:r>
    </w:p>
    <w:p w14:paraId="6070C8D2">
      <w:pPr>
        <w:tabs>
          <w:tab w:val="right" w:leader="dot" w:pos="8300"/>
        </w:tabs>
        <w:spacing w:line="480" w:lineRule="auto"/>
        <w:rPr>
          <w:rFonts w:ascii="仿宋_GB2312" w:hAnsi="仿宋_GB2312" w:eastAsia="仿宋_GB2312" w:cs="仿宋_GB2312"/>
          <w:b/>
          <w:bCs/>
          <w:color w:val="000000" w:themeColor="text1"/>
          <w:sz w:val="24"/>
          <w:u w:val="single"/>
        </w:rPr>
      </w:pPr>
      <w:r>
        <w:fldChar w:fldCharType="begin"/>
      </w:r>
      <w:r>
        <w:instrText xml:space="preserve"> HYPERLINK \l "_Toc10174" </w:instrText>
      </w:r>
      <w:r>
        <w:fldChar w:fldCharType="separate"/>
      </w:r>
      <w:r>
        <w:rPr>
          <w:rStyle w:val="12"/>
          <w:rFonts w:hint="eastAsia" w:ascii="仿宋_GB2312" w:hAnsi="仿宋_GB2312" w:eastAsia="仿宋_GB2312" w:cs="仿宋_GB2312"/>
          <w:b/>
          <w:bCs/>
          <w:color w:val="000000" w:themeColor="text1"/>
          <w:sz w:val="24"/>
        </w:rPr>
        <w:t>第二章</w:t>
      </w:r>
      <w:r>
        <w:rPr>
          <w:rStyle w:val="12"/>
          <w:rFonts w:ascii="仿宋_GB2312" w:hAnsi="仿宋_GB2312" w:eastAsia="仿宋_GB2312" w:cs="仿宋_GB2312"/>
          <w:b/>
          <w:bCs/>
          <w:color w:val="000000" w:themeColor="text1"/>
          <w:sz w:val="24"/>
        </w:rPr>
        <w:t>供应商须知</w:t>
      </w:r>
      <w:r>
        <w:rPr>
          <w:rStyle w:val="12"/>
          <w:rFonts w:hint="eastAsia" w:ascii="仿宋_GB2312" w:hAnsi="仿宋_GB2312" w:eastAsia="仿宋_GB2312" w:cs="仿宋_GB2312"/>
          <w:b/>
          <w:bCs/>
          <w:color w:val="000000" w:themeColor="text1"/>
          <w:sz w:val="24"/>
        </w:rPr>
        <w:tab/>
      </w:r>
      <w:r>
        <w:rPr>
          <w:rStyle w:val="12"/>
          <w:rFonts w:hint="eastAsia" w:ascii="仿宋_GB2312" w:hAnsi="仿宋_GB2312" w:eastAsia="仿宋_GB2312" w:cs="仿宋_GB2312"/>
          <w:b/>
          <w:bCs/>
          <w:color w:val="000000" w:themeColor="text1"/>
          <w:sz w:val="24"/>
        </w:rPr>
        <w:fldChar w:fldCharType="begin"/>
      </w:r>
      <w:r>
        <w:rPr>
          <w:rStyle w:val="12"/>
          <w:rFonts w:hint="eastAsia" w:ascii="仿宋_GB2312" w:hAnsi="仿宋_GB2312" w:eastAsia="仿宋_GB2312" w:cs="仿宋_GB2312"/>
          <w:b/>
          <w:bCs/>
          <w:color w:val="000000" w:themeColor="text1"/>
          <w:sz w:val="24"/>
        </w:rPr>
        <w:instrText xml:space="preserve"> PAGEREF _Toc10174 </w:instrText>
      </w:r>
      <w:r>
        <w:rPr>
          <w:rStyle w:val="12"/>
          <w:rFonts w:hint="eastAsia" w:ascii="仿宋_GB2312" w:hAnsi="仿宋_GB2312" w:eastAsia="仿宋_GB2312" w:cs="仿宋_GB2312"/>
          <w:b/>
          <w:bCs/>
          <w:color w:val="000000" w:themeColor="text1"/>
          <w:sz w:val="24"/>
        </w:rPr>
        <w:fldChar w:fldCharType="separate"/>
      </w:r>
      <w:r>
        <w:rPr>
          <w:rStyle w:val="12"/>
          <w:rFonts w:ascii="仿宋_GB2312" w:hAnsi="仿宋_GB2312" w:eastAsia="仿宋_GB2312" w:cs="仿宋_GB2312"/>
          <w:b/>
          <w:bCs/>
          <w:color w:val="000000" w:themeColor="text1"/>
          <w:sz w:val="24"/>
        </w:rPr>
        <w:t>19</w:t>
      </w:r>
      <w:r>
        <w:rPr>
          <w:rStyle w:val="12"/>
          <w:rFonts w:hint="eastAsia" w:ascii="仿宋_GB2312" w:hAnsi="仿宋_GB2312" w:eastAsia="仿宋_GB2312" w:cs="仿宋_GB2312"/>
          <w:b/>
          <w:bCs/>
          <w:color w:val="000000" w:themeColor="text1"/>
          <w:sz w:val="24"/>
        </w:rPr>
        <w:fldChar w:fldCharType="end"/>
      </w:r>
      <w:r>
        <w:rPr>
          <w:rStyle w:val="12"/>
          <w:rFonts w:hint="eastAsia" w:ascii="仿宋_GB2312" w:hAnsi="仿宋_GB2312" w:eastAsia="仿宋_GB2312" w:cs="仿宋_GB2312"/>
          <w:b/>
          <w:bCs/>
          <w:color w:val="000000" w:themeColor="text1"/>
          <w:sz w:val="24"/>
        </w:rPr>
        <w:fldChar w:fldCharType="end"/>
      </w:r>
    </w:p>
    <w:p w14:paraId="571AB200">
      <w:pPr>
        <w:tabs>
          <w:tab w:val="right" w:leader="dot" w:pos="8300"/>
        </w:tabs>
        <w:spacing w:line="480" w:lineRule="auto"/>
        <w:rPr>
          <w:rFonts w:ascii="仿宋_GB2312" w:hAnsi="仿宋_GB2312" w:eastAsia="仿宋_GB2312" w:cs="仿宋_GB2312"/>
          <w:b/>
          <w:bCs/>
          <w:color w:val="000000" w:themeColor="text1"/>
          <w:sz w:val="24"/>
        </w:rPr>
      </w:pPr>
      <w:r>
        <w:fldChar w:fldCharType="begin"/>
      </w:r>
      <w:r>
        <w:instrText xml:space="preserve"> HYPERLINK \l "_Toc21962" </w:instrText>
      </w:r>
      <w:r>
        <w:fldChar w:fldCharType="separate"/>
      </w:r>
      <w:r>
        <w:rPr>
          <w:rStyle w:val="12"/>
          <w:rFonts w:hint="eastAsia" w:ascii="仿宋_GB2312" w:hAnsi="仿宋_GB2312" w:eastAsia="仿宋_GB2312" w:cs="仿宋_GB2312"/>
          <w:b/>
          <w:bCs/>
          <w:color w:val="000000" w:themeColor="text1"/>
          <w:sz w:val="24"/>
        </w:rPr>
        <w:t xml:space="preserve">第三章  </w:t>
      </w:r>
      <w:r>
        <w:rPr>
          <w:rStyle w:val="12"/>
          <w:rFonts w:ascii="仿宋_GB2312" w:hAnsi="仿宋_GB2312" w:eastAsia="仿宋_GB2312" w:cs="仿宋_GB2312"/>
          <w:b/>
          <w:bCs/>
          <w:color w:val="000000" w:themeColor="text1"/>
          <w:sz w:val="24"/>
        </w:rPr>
        <w:t>采购项目技术、服务、商务及其他要求</w:t>
      </w:r>
      <w:r>
        <w:rPr>
          <w:rStyle w:val="12"/>
          <w:rFonts w:hint="eastAsia" w:ascii="仿宋_GB2312" w:hAnsi="仿宋_GB2312" w:eastAsia="仿宋_GB2312" w:cs="仿宋_GB2312"/>
          <w:b/>
          <w:bCs/>
          <w:color w:val="000000" w:themeColor="text1"/>
          <w:sz w:val="24"/>
        </w:rPr>
        <w:tab/>
      </w:r>
      <w:r>
        <w:rPr>
          <w:rStyle w:val="12"/>
          <w:rFonts w:ascii="仿宋_GB2312" w:hAnsi="仿宋_GB2312" w:eastAsia="仿宋_GB2312" w:cs="仿宋_GB2312"/>
          <w:b/>
          <w:bCs/>
          <w:color w:val="000000" w:themeColor="text1"/>
          <w:sz w:val="24"/>
        </w:rPr>
        <w:t>1</w:t>
      </w:r>
      <w:r>
        <w:rPr>
          <w:rStyle w:val="12"/>
          <w:rFonts w:ascii="仿宋_GB2312" w:hAnsi="仿宋_GB2312" w:eastAsia="仿宋_GB2312" w:cs="仿宋_GB2312"/>
          <w:b/>
          <w:bCs/>
          <w:color w:val="000000" w:themeColor="text1"/>
          <w:sz w:val="24"/>
        </w:rPr>
        <w:fldChar w:fldCharType="end"/>
      </w:r>
    </w:p>
    <w:p w14:paraId="0EF485EB">
      <w:pPr>
        <w:tabs>
          <w:tab w:val="right" w:leader="dot" w:pos="8300"/>
        </w:tabs>
        <w:spacing w:line="480" w:lineRule="auto"/>
        <w:rPr>
          <w:rFonts w:ascii="仿宋_GB2312" w:hAnsi="仿宋_GB2312" w:eastAsia="仿宋_GB2312" w:cs="仿宋_GB2312"/>
          <w:b/>
          <w:bCs/>
          <w:color w:val="000000" w:themeColor="text1"/>
          <w:sz w:val="24"/>
        </w:rPr>
      </w:pPr>
      <w:r>
        <w:fldChar w:fldCharType="begin"/>
      </w:r>
      <w:r>
        <w:instrText xml:space="preserve"> HYPERLINK \l "_Toc30686" </w:instrText>
      </w:r>
      <w:r>
        <w:fldChar w:fldCharType="separate"/>
      </w:r>
      <w:r>
        <w:rPr>
          <w:rFonts w:hint="eastAsia" w:ascii="仿宋_GB2312" w:hAnsi="仿宋_GB2312" w:eastAsia="仿宋_GB2312" w:cs="仿宋_GB2312"/>
          <w:b/>
          <w:bCs/>
          <w:color w:val="000000" w:themeColor="text1"/>
          <w:sz w:val="24"/>
        </w:rPr>
        <w:t>第四章 资格审查</w:t>
      </w:r>
      <w:r>
        <w:rPr>
          <w:rFonts w:hint="eastAsia" w:ascii="仿宋_GB2312" w:hAnsi="仿宋_GB2312" w:eastAsia="仿宋_GB2312" w:cs="仿宋_GB2312"/>
          <w:b/>
          <w:bCs/>
          <w:color w:val="000000" w:themeColor="text1"/>
          <w:sz w:val="24"/>
        </w:rPr>
        <w:tab/>
      </w:r>
      <w:r>
        <w:rPr>
          <w:rFonts w:ascii="仿宋_GB2312" w:hAnsi="仿宋_GB2312" w:eastAsia="仿宋_GB2312" w:cs="仿宋_GB2312"/>
          <w:b/>
          <w:bCs/>
          <w:color w:val="000000" w:themeColor="text1"/>
          <w:sz w:val="24"/>
        </w:rPr>
        <w:t>2</w:t>
      </w:r>
      <w:r>
        <w:rPr>
          <w:rFonts w:ascii="仿宋_GB2312" w:hAnsi="仿宋_GB2312" w:eastAsia="仿宋_GB2312" w:cs="仿宋_GB2312"/>
          <w:b/>
          <w:bCs/>
          <w:color w:val="000000" w:themeColor="text1"/>
          <w:sz w:val="24"/>
        </w:rPr>
        <w:fldChar w:fldCharType="end"/>
      </w:r>
      <w:r>
        <w:rPr>
          <w:rFonts w:ascii="仿宋_GB2312" w:hAnsi="仿宋_GB2312" w:eastAsia="仿宋_GB2312" w:cs="仿宋_GB2312"/>
          <w:b/>
          <w:bCs/>
          <w:color w:val="000000" w:themeColor="text1"/>
          <w:sz w:val="24"/>
        </w:rPr>
        <w:t>0</w:t>
      </w:r>
    </w:p>
    <w:p w14:paraId="7E41FBD4">
      <w:pPr>
        <w:tabs>
          <w:tab w:val="right" w:leader="dot" w:pos="8300"/>
        </w:tabs>
        <w:spacing w:line="480" w:lineRule="auto"/>
        <w:rPr>
          <w:rFonts w:ascii="仿宋_GB2312" w:hAnsi="仿宋_GB2312" w:eastAsia="仿宋_GB2312" w:cs="仿宋_GB2312"/>
          <w:b/>
          <w:bCs/>
          <w:color w:val="000000" w:themeColor="text1"/>
          <w:sz w:val="24"/>
        </w:rPr>
      </w:pPr>
      <w:r>
        <w:fldChar w:fldCharType="begin"/>
      </w:r>
      <w:r>
        <w:instrText xml:space="preserve"> HYPERLINK \l "_Toc29226" </w:instrText>
      </w:r>
      <w:r>
        <w:fldChar w:fldCharType="separate"/>
      </w:r>
      <w:r>
        <w:rPr>
          <w:rFonts w:hint="eastAsia" w:ascii="仿宋_GB2312" w:hAnsi="仿宋_GB2312" w:eastAsia="仿宋_GB2312" w:cs="仿宋_GB2312"/>
          <w:b/>
          <w:bCs/>
          <w:color w:val="000000" w:themeColor="text1"/>
          <w:sz w:val="24"/>
        </w:rPr>
        <w:t>第五章 评审办法</w:t>
      </w:r>
      <w:r>
        <w:rPr>
          <w:rFonts w:hint="eastAsia" w:ascii="仿宋_GB2312" w:hAnsi="仿宋_GB2312" w:eastAsia="仿宋_GB2312" w:cs="仿宋_GB2312"/>
          <w:b/>
          <w:bCs/>
          <w:color w:val="000000" w:themeColor="text1"/>
          <w:sz w:val="24"/>
        </w:rPr>
        <w:tab/>
      </w:r>
      <w:r>
        <w:rPr>
          <w:rFonts w:ascii="仿宋_GB2312" w:hAnsi="仿宋_GB2312" w:eastAsia="仿宋_GB2312" w:cs="仿宋_GB2312"/>
          <w:b/>
          <w:bCs/>
          <w:color w:val="000000" w:themeColor="text1"/>
          <w:sz w:val="24"/>
        </w:rPr>
        <w:t>22</w:t>
      </w:r>
      <w:r>
        <w:rPr>
          <w:rFonts w:ascii="仿宋_GB2312" w:hAnsi="仿宋_GB2312" w:eastAsia="仿宋_GB2312" w:cs="仿宋_GB2312"/>
          <w:b/>
          <w:bCs/>
          <w:color w:val="000000" w:themeColor="text1"/>
          <w:sz w:val="24"/>
        </w:rPr>
        <w:fldChar w:fldCharType="end"/>
      </w:r>
    </w:p>
    <w:p w14:paraId="457B87BF">
      <w:pPr>
        <w:tabs>
          <w:tab w:val="right" w:leader="dot" w:pos="8300"/>
        </w:tabs>
        <w:spacing w:line="480" w:lineRule="auto"/>
        <w:rPr>
          <w:rFonts w:ascii="仿宋_GB2312" w:hAnsi="仿宋_GB2312" w:eastAsia="仿宋_GB2312" w:cs="仿宋_GB2312"/>
          <w:b/>
          <w:bCs/>
          <w:color w:val="000000" w:themeColor="text1"/>
          <w:sz w:val="24"/>
        </w:rPr>
      </w:pPr>
      <w:r>
        <w:fldChar w:fldCharType="begin"/>
      </w:r>
      <w:r>
        <w:instrText xml:space="preserve"> HYPERLINK \l "_Toc29210" </w:instrText>
      </w:r>
      <w:r>
        <w:fldChar w:fldCharType="separate"/>
      </w:r>
      <w:r>
        <w:rPr>
          <w:rFonts w:hint="eastAsia" w:ascii="仿宋_GB2312" w:hAnsi="仿宋_GB2312" w:eastAsia="仿宋_GB2312" w:cs="仿宋_GB2312"/>
          <w:b/>
          <w:bCs/>
          <w:color w:val="000000" w:themeColor="text1"/>
          <w:sz w:val="24"/>
        </w:rPr>
        <w:t>第六章  响应文件格式</w:t>
      </w:r>
      <w:r>
        <w:rPr>
          <w:rFonts w:hint="eastAsia" w:ascii="仿宋_GB2312" w:hAnsi="仿宋_GB2312" w:eastAsia="仿宋_GB2312" w:cs="仿宋_GB2312"/>
          <w:b/>
          <w:bCs/>
          <w:color w:val="000000" w:themeColor="text1"/>
          <w:sz w:val="24"/>
        </w:rPr>
        <w:tab/>
      </w:r>
      <w:r>
        <w:rPr>
          <w:rFonts w:ascii="仿宋_GB2312" w:hAnsi="仿宋_GB2312" w:eastAsia="仿宋_GB2312" w:cs="仿宋_GB2312"/>
          <w:b/>
          <w:bCs/>
          <w:color w:val="000000" w:themeColor="text1"/>
          <w:sz w:val="24"/>
        </w:rPr>
        <w:t>33</w:t>
      </w:r>
      <w:r>
        <w:rPr>
          <w:rFonts w:ascii="仿宋_GB2312" w:hAnsi="仿宋_GB2312" w:eastAsia="仿宋_GB2312" w:cs="仿宋_GB2312"/>
          <w:b/>
          <w:bCs/>
          <w:color w:val="000000" w:themeColor="text1"/>
          <w:sz w:val="24"/>
        </w:rPr>
        <w:fldChar w:fldCharType="end"/>
      </w:r>
    </w:p>
    <w:p w14:paraId="24C194E5">
      <w:pPr>
        <w:widowControl/>
        <w:jc w:val="left"/>
        <w:rPr>
          <w:rFonts w:ascii="仿宋_GB2312" w:hAnsi="仿宋_GB2312" w:eastAsia="仿宋_GB2312" w:cs="仿宋_GB2312"/>
          <w:b/>
          <w:bCs/>
          <w:color w:val="000000" w:themeColor="text1"/>
          <w:sz w:val="24"/>
        </w:rPr>
      </w:pPr>
      <w:r>
        <w:rPr>
          <w:rFonts w:hint="eastAsia" w:ascii="仿宋_GB2312" w:hAnsi="仿宋_GB2312" w:eastAsia="仿宋_GB2312" w:cs="仿宋_GB2312"/>
          <w:b/>
          <w:bCs/>
          <w:color w:val="000000" w:themeColor="text1"/>
          <w:sz w:val="24"/>
        </w:rPr>
        <w:fldChar w:fldCharType="end"/>
      </w:r>
    </w:p>
    <w:p w14:paraId="77198B45">
      <w:pPr>
        <w:widowControl/>
        <w:jc w:val="left"/>
        <w:rPr>
          <w:rFonts w:ascii="仿宋_GB2312" w:hAnsi="仿宋_GB2312" w:eastAsia="仿宋_GB2312" w:cs="仿宋_GB2312"/>
          <w:b/>
          <w:bCs/>
          <w:color w:val="000000" w:themeColor="text1"/>
          <w:sz w:val="24"/>
        </w:rPr>
      </w:pPr>
    </w:p>
    <w:p w14:paraId="51E54F05">
      <w:pPr>
        <w:widowControl/>
        <w:jc w:val="left"/>
        <w:rPr>
          <w:rFonts w:ascii="仿宋_GB2312" w:hAnsi="仿宋_GB2312" w:eastAsia="仿宋_GB2312" w:cs="仿宋_GB2312"/>
          <w:b/>
          <w:bCs/>
          <w:color w:val="000000" w:themeColor="text1"/>
          <w:sz w:val="24"/>
        </w:rPr>
      </w:pPr>
    </w:p>
    <w:p w14:paraId="38B499B2">
      <w:pPr>
        <w:widowControl/>
        <w:jc w:val="left"/>
        <w:rPr>
          <w:rFonts w:ascii="仿宋_GB2312" w:hAnsi="仿宋_GB2312" w:eastAsia="仿宋_GB2312" w:cs="仿宋_GB2312"/>
          <w:b/>
          <w:bCs/>
          <w:color w:val="000000" w:themeColor="text1"/>
          <w:sz w:val="24"/>
        </w:rPr>
      </w:pPr>
    </w:p>
    <w:p w14:paraId="12040970">
      <w:pPr>
        <w:widowControl/>
        <w:jc w:val="left"/>
        <w:rPr>
          <w:rFonts w:ascii="仿宋_GB2312" w:hAnsi="仿宋_GB2312" w:eastAsia="仿宋_GB2312" w:cs="仿宋_GB2312"/>
          <w:b/>
          <w:bCs/>
          <w:color w:val="000000" w:themeColor="text1"/>
          <w:sz w:val="24"/>
        </w:rPr>
      </w:pPr>
    </w:p>
    <w:p w14:paraId="75ABA8D3">
      <w:pPr>
        <w:widowControl/>
        <w:jc w:val="left"/>
        <w:rPr>
          <w:rFonts w:ascii="仿宋_GB2312" w:hAnsi="仿宋_GB2312" w:eastAsia="仿宋_GB2312" w:cs="仿宋_GB2312"/>
          <w:b/>
          <w:bCs/>
          <w:color w:val="000000" w:themeColor="text1"/>
          <w:sz w:val="24"/>
        </w:rPr>
      </w:pPr>
    </w:p>
    <w:p w14:paraId="0B0825B5">
      <w:pPr>
        <w:widowControl/>
        <w:jc w:val="left"/>
        <w:rPr>
          <w:rFonts w:ascii="仿宋_GB2312" w:hAnsi="仿宋_GB2312" w:eastAsia="仿宋_GB2312" w:cs="仿宋_GB2312"/>
          <w:b/>
          <w:bCs/>
          <w:color w:val="000000" w:themeColor="text1"/>
          <w:sz w:val="24"/>
        </w:rPr>
      </w:pPr>
    </w:p>
    <w:p w14:paraId="192F140E">
      <w:pPr>
        <w:widowControl/>
        <w:jc w:val="left"/>
        <w:rPr>
          <w:rFonts w:ascii="仿宋_GB2312" w:hAnsi="仿宋_GB2312" w:eastAsia="仿宋_GB2312" w:cs="仿宋_GB2312"/>
          <w:b/>
          <w:bCs/>
          <w:color w:val="000000" w:themeColor="text1"/>
          <w:sz w:val="24"/>
        </w:rPr>
      </w:pPr>
    </w:p>
    <w:p w14:paraId="57BFF4B6">
      <w:pPr>
        <w:widowControl/>
        <w:jc w:val="left"/>
        <w:rPr>
          <w:rFonts w:ascii="仿宋_GB2312" w:hAnsi="仿宋_GB2312" w:eastAsia="仿宋_GB2312" w:cs="仿宋_GB2312"/>
          <w:b/>
          <w:bCs/>
          <w:color w:val="000000" w:themeColor="text1"/>
          <w:sz w:val="24"/>
        </w:rPr>
      </w:pPr>
    </w:p>
    <w:p w14:paraId="773ECBDB">
      <w:pPr>
        <w:widowControl/>
        <w:jc w:val="left"/>
        <w:rPr>
          <w:rFonts w:ascii="仿宋_GB2312" w:hAnsi="仿宋_GB2312" w:eastAsia="仿宋_GB2312" w:cs="仿宋_GB2312"/>
          <w:b/>
          <w:bCs/>
          <w:color w:val="000000" w:themeColor="text1"/>
          <w:sz w:val="24"/>
        </w:rPr>
      </w:pPr>
    </w:p>
    <w:p w14:paraId="66283264">
      <w:pPr>
        <w:widowControl/>
        <w:jc w:val="left"/>
        <w:rPr>
          <w:rFonts w:ascii="仿宋_GB2312" w:hAnsi="仿宋_GB2312" w:eastAsia="仿宋_GB2312" w:cs="仿宋_GB2312"/>
          <w:b/>
          <w:bCs/>
          <w:color w:val="000000" w:themeColor="text1"/>
          <w:sz w:val="24"/>
        </w:rPr>
      </w:pPr>
    </w:p>
    <w:p w14:paraId="54D889B4">
      <w:pPr>
        <w:widowControl/>
        <w:jc w:val="left"/>
        <w:rPr>
          <w:rFonts w:ascii="仿宋_GB2312" w:hAnsi="仿宋_GB2312" w:eastAsia="仿宋_GB2312" w:cs="仿宋_GB2312"/>
          <w:b/>
          <w:bCs/>
          <w:color w:val="000000" w:themeColor="text1"/>
          <w:sz w:val="24"/>
        </w:rPr>
      </w:pPr>
    </w:p>
    <w:p w14:paraId="7042FD73">
      <w:pPr>
        <w:widowControl/>
        <w:jc w:val="left"/>
        <w:rPr>
          <w:rFonts w:ascii="仿宋_GB2312" w:hAnsi="仿宋_GB2312" w:eastAsia="仿宋_GB2312" w:cs="仿宋_GB2312"/>
          <w:b/>
          <w:bCs/>
          <w:color w:val="000000" w:themeColor="text1"/>
          <w:sz w:val="24"/>
        </w:rPr>
      </w:pPr>
    </w:p>
    <w:p w14:paraId="5E013617">
      <w:pPr>
        <w:widowControl/>
        <w:jc w:val="left"/>
        <w:rPr>
          <w:rFonts w:ascii="仿宋_GB2312" w:hAnsi="仿宋_GB2312" w:eastAsia="仿宋_GB2312" w:cs="仿宋_GB2312"/>
          <w:b/>
          <w:bCs/>
          <w:color w:val="000000" w:themeColor="text1"/>
          <w:sz w:val="24"/>
        </w:rPr>
      </w:pPr>
    </w:p>
    <w:p w14:paraId="32350651">
      <w:pPr>
        <w:widowControl/>
        <w:jc w:val="left"/>
        <w:rPr>
          <w:rFonts w:ascii="仿宋_GB2312" w:hAnsi="仿宋_GB2312" w:eastAsia="仿宋_GB2312" w:cs="仿宋_GB2312"/>
          <w:b/>
          <w:bCs/>
          <w:color w:val="000000" w:themeColor="text1"/>
          <w:sz w:val="24"/>
        </w:rPr>
      </w:pPr>
    </w:p>
    <w:p w14:paraId="20DB0E75">
      <w:pPr>
        <w:widowControl/>
        <w:jc w:val="left"/>
        <w:rPr>
          <w:rFonts w:ascii="仿宋_GB2312" w:hAnsi="仿宋_GB2312" w:eastAsia="仿宋_GB2312" w:cs="仿宋_GB2312"/>
          <w:b/>
          <w:bCs/>
          <w:color w:val="000000" w:themeColor="text1"/>
          <w:sz w:val="24"/>
        </w:rPr>
      </w:pPr>
    </w:p>
    <w:p w14:paraId="49775CAF">
      <w:pPr>
        <w:widowControl/>
        <w:jc w:val="left"/>
        <w:rPr>
          <w:rFonts w:ascii="仿宋_GB2312" w:hAnsi="仿宋_GB2312" w:eastAsia="仿宋_GB2312" w:cs="仿宋_GB2312"/>
          <w:b/>
          <w:bCs/>
          <w:color w:val="000000" w:themeColor="text1"/>
          <w:sz w:val="24"/>
        </w:rPr>
      </w:pPr>
    </w:p>
    <w:p w14:paraId="63E6CD8F">
      <w:pPr>
        <w:widowControl/>
        <w:jc w:val="left"/>
        <w:rPr>
          <w:rFonts w:ascii="仿宋_GB2312" w:hAnsi="仿宋_GB2312" w:eastAsia="仿宋_GB2312" w:cs="仿宋_GB2312"/>
          <w:b/>
          <w:bCs/>
          <w:color w:val="000000" w:themeColor="text1"/>
          <w:sz w:val="24"/>
        </w:rPr>
      </w:pPr>
    </w:p>
    <w:p w14:paraId="202F5CF4">
      <w:pPr>
        <w:widowControl/>
        <w:jc w:val="left"/>
        <w:rPr>
          <w:rFonts w:ascii="仿宋_GB2312" w:hAnsi="仿宋_GB2312" w:eastAsia="仿宋_GB2312" w:cs="仿宋_GB2312"/>
          <w:b/>
          <w:bCs/>
          <w:color w:val="000000" w:themeColor="text1"/>
          <w:sz w:val="24"/>
        </w:rPr>
      </w:pPr>
    </w:p>
    <w:p w14:paraId="74283F6A">
      <w:pPr>
        <w:widowControl/>
        <w:jc w:val="left"/>
        <w:rPr>
          <w:rFonts w:ascii="仿宋_GB2312" w:hAnsi="仿宋_GB2312" w:eastAsia="仿宋_GB2312" w:cs="仿宋_GB2312"/>
          <w:b/>
          <w:bCs/>
          <w:color w:val="000000" w:themeColor="text1"/>
          <w:sz w:val="24"/>
        </w:rPr>
      </w:pPr>
    </w:p>
    <w:p w14:paraId="260BC9FE">
      <w:pPr>
        <w:widowControl/>
        <w:jc w:val="left"/>
        <w:rPr>
          <w:rFonts w:ascii="仿宋_GB2312" w:hAnsi="仿宋_GB2312" w:eastAsia="仿宋_GB2312" w:cs="仿宋_GB2312"/>
          <w:b/>
          <w:bCs/>
          <w:color w:val="000000" w:themeColor="text1"/>
          <w:sz w:val="24"/>
        </w:rPr>
      </w:pPr>
    </w:p>
    <w:p w14:paraId="7C63E3BE">
      <w:pPr>
        <w:widowControl/>
        <w:jc w:val="left"/>
        <w:rPr>
          <w:rFonts w:ascii="仿宋_GB2312" w:hAnsi="仿宋_GB2312" w:eastAsia="仿宋_GB2312" w:cs="仿宋_GB2312"/>
          <w:b/>
          <w:bCs/>
          <w:color w:val="000000" w:themeColor="text1"/>
          <w:sz w:val="24"/>
        </w:rPr>
      </w:pPr>
    </w:p>
    <w:p w14:paraId="37D89348">
      <w:pPr>
        <w:widowControl/>
        <w:jc w:val="left"/>
        <w:rPr>
          <w:rFonts w:ascii="仿宋_GB2312" w:hAnsi="仿宋_GB2312" w:eastAsia="仿宋_GB2312" w:cs="仿宋_GB2312"/>
          <w:b/>
          <w:bCs/>
          <w:color w:val="000000" w:themeColor="text1"/>
          <w:sz w:val="24"/>
        </w:rPr>
      </w:pPr>
    </w:p>
    <w:p w14:paraId="66D0183D">
      <w:pPr>
        <w:widowControl/>
        <w:jc w:val="left"/>
        <w:rPr>
          <w:rFonts w:ascii="仿宋_GB2312" w:hAnsi="仿宋" w:eastAsia="仿宋_GB2312"/>
          <w:color w:val="000000" w:themeColor="text1"/>
          <w:kern w:val="0"/>
          <w:szCs w:val="21"/>
        </w:rPr>
      </w:pPr>
    </w:p>
    <w:p w14:paraId="290113E1">
      <w:pPr>
        <w:pStyle w:val="13"/>
        <w:numPr>
          <w:ilvl w:val="0"/>
          <w:numId w:val="1"/>
        </w:numPr>
        <w:spacing w:line="360" w:lineRule="auto"/>
        <w:jc w:val="center"/>
        <w:outlineLvl w:val="1"/>
        <w:rPr>
          <w:rFonts w:hint="default" w:ascii="仿宋_GB2312" w:hAnsi="仿宋" w:eastAsia="仿宋_GB2312"/>
          <w:b/>
          <w:color w:val="000000" w:themeColor="text1"/>
          <w:sz w:val="36"/>
          <w:szCs w:val="36"/>
        </w:rPr>
      </w:pPr>
      <w:r>
        <w:rPr>
          <w:rFonts w:ascii="仿宋_GB2312" w:hAnsi="仿宋" w:eastAsia="仿宋_GB2312"/>
          <w:b/>
          <w:color w:val="000000" w:themeColor="text1"/>
          <w:sz w:val="36"/>
          <w:szCs w:val="36"/>
        </w:rPr>
        <w:t xml:space="preserve"> </w:t>
      </w:r>
      <w:r>
        <w:rPr>
          <w:rFonts w:hint="default" w:ascii="仿宋_GB2312" w:hAnsi="仿宋" w:eastAsia="仿宋_GB2312"/>
          <w:b/>
          <w:color w:val="000000" w:themeColor="text1"/>
          <w:sz w:val="36"/>
          <w:szCs w:val="36"/>
        </w:rPr>
        <w:t xml:space="preserve"> </w:t>
      </w:r>
      <w:r>
        <w:rPr>
          <w:rFonts w:ascii="仿宋_GB2312" w:hAnsi="仿宋" w:eastAsia="仿宋_GB2312"/>
          <w:b/>
          <w:color w:val="000000" w:themeColor="text1"/>
          <w:sz w:val="36"/>
          <w:szCs w:val="36"/>
        </w:rPr>
        <w:t>采购公告</w:t>
      </w:r>
    </w:p>
    <w:p w14:paraId="43DCE2B6">
      <w:pPr>
        <w:pBdr>
          <w:top w:val="single" w:color="auto" w:sz="4" w:space="1"/>
          <w:left w:val="single" w:color="auto" w:sz="4" w:space="4"/>
          <w:bottom w:val="single" w:color="auto" w:sz="4" w:space="1"/>
          <w:right w:val="single" w:color="auto" w:sz="4" w:space="4"/>
        </w:pBdr>
        <w:spacing w:line="360" w:lineRule="auto"/>
        <w:ind w:firstLine="420" w:firstLineChars="200"/>
        <w:rPr>
          <w:rFonts w:ascii="仿宋_GB2312" w:hAnsi="仿宋" w:eastAsia="仿宋_GB2312" w:cs="Times New Roman"/>
          <w:bCs/>
          <w:color w:val="000000" w:themeColor="text1"/>
          <w:szCs w:val="21"/>
        </w:rPr>
      </w:pPr>
      <w:bookmarkStart w:id="12" w:name="_GoBack"/>
      <w:r>
        <w:rPr>
          <w:rFonts w:hint="eastAsia" w:ascii="仿宋_GB2312" w:hAnsi="仿宋" w:eastAsia="仿宋_GB2312" w:cs="Times New Roman"/>
          <w:bCs/>
          <w:color w:val="000000" w:themeColor="text1"/>
          <w:szCs w:val="21"/>
        </w:rPr>
        <w:t>项目概况</w:t>
      </w:r>
    </w:p>
    <w:p w14:paraId="57BD9C92">
      <w:pPr>
        <w:pBdr>
          <w:top w:val="single" w:color="auto" w:sz="4" w:space="1"/>
          <w:left w:val="single" w:color="auto" w:sz="4" w:space="4"/>
          <w:bottom w:val="single" w:color="auto" w:sz="4" w:space="1"/>
          <w:right w:val="single" w:color="auto" w:sz="4" w:space="4"/>
        </w:pBdr>
        <w:spacing w:line="360" w:lineRule="auto"/>
        <w:ind w:firstLine="420" w:firstLineChars="200"/>
        <w:rPr>
          <w:rFonts w:ascii="仿宋_GB2312" w:hAnsi="仿宋_GB2312" w:eastAsia="仿宋_GB2312" w:cs="仿宋_GB2312"/>
          <w:b/>
          <w:bCs/>
          <w:color w:val="000000" w:themeColor="text1"/>
          <w:kern w:val="0"/>
          <w:szCs w:val="21"/>
        </w:rPr>
      </w:pPr>
      <w:r>
        <w:rPr>
          <w:rFonts w:ascii="仿宋_GB2312" w:hAnsi="仿宋" w:eastAsia="仿宋_GB2312" w:cs="Times New Roman"/>
          <w:bCs/>
          <w:color w:val="000000" w:themeColor="text1"/>
          <w:szCs w:val="21"/>
        </w:rPr>
        <w:t>本项目</w:t>
      </w:r>
      <w:r>
        <w:rPr>
          <w:rFonts w:hint="eastAsia" w:ascii="仿宋_GB2312" w:hAnsi="仿宋" w:eastAsia="仿宋_GB2312" w:cs="Times New Roman"/>
          <w:bCs/>
          <w:color w:val="000000" w:themeColor="text1"/>
          <w:szCs w:val="21"/>
        </w:rPr>
        <w:t>为非政府采购项目，潜在供应商应在</w:t>
      </w:r>
      <w:r>
        <w:rPr>
          <w:rFonts w:ascii="仿宋_GB2312" w:hAnsi="仿宋" w:eastAsia="仿宋_GB2312" w:cs="Times New Roman"/>
          <w:bCs/>
          <w:color w:val="000000" w:themeColor="text1"/>
          <w:szCs w:val="21"/>
          <w:u w:val="single"/>
        </w:rPr>
        <w:t>全国公共资源交易平台（辽宁省·本溪市）</w:t>
      </w:r>
      <w:r>
        <w:rPr>
          <w:rFonts w:hint="eastAsia" w:ascii="仿宋_GB2312" w:hAnsi="仿宋" w:eastAsia="仿宋_GB2312" w:cs="Times New Roman"/>
          <w:bCs/>
          <w:color w:val="000000" w:themeColor="text1"/>
          <w:szCs w:val="21"/>
        </w:rPr>
        <w:t>获取</w:t>
      </w:r>
      <w:r>
        <w:rPr>
          <w:rFonts w:ascii="仿宋_GB2312" w:hAnsi="仿宋" w:eastAsia="仿宋_GB2312" w:cs="Times New Roman"/>
          <w:bCs/>
          <w:color w:val="000000" w:themeColor="text1"/>
          <w:szCs w:val="21"/>
        </w:rPr>
        <w:t>采购</w:t>
      </w:r>
      <w:r>
        <w:rPr>
          <w:rFonts w:hint="eastAsia" w:ascii="仿宋_GB2312" w:hAnsi="仿宋" w:eastAsia="仿宋_GB2312" w:cs="Times New Roman"/>
          <w:bCs/>
          <w:color w:val="000000" w:themeColor="text1"/>
          <w:szCs w:val="21"/>
        </w:rPr>
        <w:t>文件，并于</w:t>
      </w:r>
      <w:r>
        <w:rPr>
          <w:rFonts w:ascii="仿宋_GB2312" w:hAnsi="仿宋" w:eastAsia="仿宋_GB2312" w:cs="Times New Roman"/>
          <w:bCs/>
          <w:color w:val="000000" w:themeColor="text1"/>
          <w:szCs w:val="21"/>
        </w:rPr>
        <w:t>2026年02</w:t>
      </w:r>
      <w:r>
        <w:rPr>
          <w:rFonts w:hint="eastAsia" w:ascii="仿宋_GB2312" w:hAnsi="仿宋" w:eastAsia="仿宋_GB2312" w:cs="Times New Roman"/>
          <w:bCs/>
          <w:color w:val="000000" w:themeColor="text1"/>
          <w:szCs w:val="21"/>
        </w:rPr>
        <w:t>月</w:t>
      </w:r>
      <w:r>
        <w:rPr>
          <w:rFonts w:ascii="仿宋_GB2312" w:hAnsi="仿宋" w:eastAsia="仿宋_GB2312" w:cs="Times New Roman"/>
          <w:bCs/>
          <w:color w:val="000000" w:themeColor="text1"/>
          <w:szCs w:val="21"/>
        </w:rPr>
        <w:t>09</w:t>
      </w:r>
      <w:r>
        <w:rPr>
          <w:rFonts w:hint="eastAsia" w:ascii="仿宋_GB2312" w:hAnsi="仿宋" w:eastAsia="仿宋_GB2312" w:cs="Times New Roman"/>
          <w:bCs/>
          <w:color w:val="000000" w:themeColor="text1"/>
          <w:szCs w:val="21"/>
        </w:rPr>
        <w:t>日</w:t>
      </w:r>
      <w:r>
        <w:rPr>
          <w:rFonts w:ascii="仿宋_GB2312" w:hAnsi="仿宋" w:eastAsia="仿宋_GB2312" w:cs="Times New Roman"/>
          <w:bCs/>
          <w:color w:val="000000" w:themeColor="text1"/>
          <w:szCs w:val="21"/>
        </w:rPr>
        <w:t>9</w:t>
      </w:r>
      <w:r>
        <w:rPr>
          <w:rFonts w:hint="eastAsia" w:ascii="仿宋_GB2312" w:hAnsi="仿宋" w:eastAsia="仿宋_GB2312" w:cs="Times New Roman"/>
          <w:bCs/>
          <w:color w:val="000000" w:themeColor="text1"/>
          <w:szCs w:val="21"/>
        </w:rPr>
        <w:t>点</w:t>
      </w:r>
      <w:r>
        <w:rPr>
          <w:rFonts w:ascii="仿宋_GB2312" w:hAnsi="仿宋" w:eastAsia="仿宋_GB2312" w:cs="Times New Roman"/>
          <w:bCs/>
          <w:color w:val="000000" w:themeColor="text1"/>
          <w:szCs w:val="21"/>
        </w:rPr>
        <w:t>00</w:t>
      </w:r>
      <w:r>
        <w:rPr>
          <w:rFonts w:hint="eastAsia" w:ascii="仿宋_GB2312" w:hAnsi="仿宋" w:eastAsia="仿宋_GB2312" w:cs="Times New Roman"/>
          <w:bCs/>
          <w:color w:val="000000" w:themeColor="text1"/>
          <w:szCs w:val="21"/>
        </w:rPr>
        <w:t>分（北京时间）前递交</w:t>
      </w:r>
      <w:r>
        <w:rPr>
          <w:rFonts w:ascii="仿宋_GB2312" w:hAnsi="仿宋" w:eastAsia="仿宋_GB2312" w:cs="Times New Roman"/>
          <w:bCs/>
          <w:color w:val="000000" w:themeColor="text1"/>
          <w:szCs w:val="21"/>
        </w:rPr>
        <w:t>响应文件，</w:t>
      </w:r>
      <w:r>
        <w:rPr>
          <w:rFonts w:hint="eastAsia" w:ascii="仿宋_GB2312" w:hAnsi="仿宋_GB2312" w:eastAsia="仿宋_GB2312" w:cs="仿宋_GB2312"/>
          <w:color w:val="000000" w:themeColor="text1"/>
          <w:kern w:val="0"/>
          <w:szCs w:val="21"/>
        </w:rPr>
        <w:t xml:space="preserve"> </w:t>
      </w:r>
    </w:p>
    <w:p w14:paraId="2EFA4163">
      <w:pPr>
        <w:pStyle w:val="13"/>
        <w:rPr>
          <w:rFonts w:hint="default" w:ascii="仿宋_GB2312" w:hAnsi="仿宋" w:eastAsia="仿宋_GB2312"/>
          <w:b/>
          <w:color w:val="000000" w:themeColor="text1"/>
          <w:szCs w:val="21"/>
        </w:rPr>
      </w:pPr>
      <w:r>
        <w:rPr>
          <w:rFonts w:ascii="仿宋_GB2312" w:hAnsi="仿宋" w:eastAsia="仿宋_GB2312"/>
          <w:b/>
          <w:color w:val="000000" w:themeColor="text1"/>
          <w:sz w:val="21"/>
          <w:szCs w:val="21"/>
        </w:rPr>
        <w:t>一、采购项目编号：</w:t>
      </w:r>
      <w:r>
        <w:rPr>
          <w:rFonts w:ascii="仿宋_GB2312" w:hAnsi="仿宋" w:eastAsia="仿宋_GB2312"/>
          <w:b/>
          <w:color w:val="000000" w:themeColor="text1"/>
          <w:szCs w:val="21"/>
        </w:rPr>
        <w:t>BXFS20260129-1</w:t>
      </w:r>
    </w:p>
    <w:p w14:paraId="76412801">
      <w:pPr>
        <w:pStyle w:val="13"/>
        <w:spacing w:line="360" w:lineRule="auto"/>
        <w:outlineLvl w:val="2"/>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 xml:space="preserve"> 二、采购项目名称：本溪市教育系统校园自有食堂餐饮服务管理</w:t>
      </w:r>
    </w:p>
    <w:p w14:paraId="6A80B778">
      <w:pPr>
        <w:pStyle w:val="13"/>
        <w:spacing w:line="360" w:lineRule="auto"/>
        <w:outlineLvl w:val="2"/>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 xml:space="preserve"> 三、采购项目概述：为本溪市市内学校及区县学校食堂餐饮服务管理进行采购。</w:t>
      </w:r>
    </w:p>
    <w:p w14:paraId="6BA2E68C">
      <w:pPr>
        <w:pStyle w:val="13"/>
        <w:spacing w:line="360" w:lineRule="auto"/>
        <w:outlineLvl w:val="2"/>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 xml:space="preserve"> 四、供应商参加本次采购活动应具备下列条件：</w:t>
      </w:r>
    </w:p>
    <w:p w14:paraId="23FD9308">
      <w:pPr>
        <w:adjustRightInd w:val="0"/>
        <w:snapToGrid w:val="0"/>
        <w:spacing w:line="360" w:lineRule="auto"/>
        <w:rPr>
          <w:rFonts w:ascii="仿宋_GB2312" w:hAnsi="仿宋" w:eastAsia="仿宋_GB2312" w:cs="Times New Roman"/>
          <w:color w:val="000000" w:themeColor="text1"/>
          <w:kern w:val="0"/>
          <w:szCs w:val="21"/>
        </w:rPr>
      </w:pPr>
      <w:r>
        <w:rPr>
          <w:rFonts w:hint="eastAsia" w:ascii="仿宋_GB2312" w:hAnsi="仿宋" w:eastAsia="仿宋_GB2312"/>
          <w:color w:val="000000" w:themeColor="text1"/>
          <w:szCs w:val="21"/>
        </w:rPr>
        <w:t>（一）</w:t>
      </w:r>
      <w:r>
        <w:rPr>
          <w:rFonts w:hint="eastAsia" w:ascii="仿宋_GB2312" w:hAnsi="仿宋" w:eastAsia="仿宋_GB2312" w:cs="Times New Roman"/>
          <w:color w:val="000000" w:themeColor="text1"/>
          <w:kern w:val="0"/>
          <w:szCs w:val="21"/>
        </w:rPr>
        <w:t>1.供应商参加采购活动应当具备下列条件：</w:t>
      </w:r>
    </w:p>
    <w:p w14:paraId="4D48197D">
      <w:pPr>
        <w:adjustRightInd w:val="0"/>
        <w:snapToGrid w:val="0"/>
        <w:spacing w:line="360" w:lineRule="auto"/>
        <w:ind w:firstLine="420" w:firstLineChars="200"/>
        <w:rPr>
          <w:rFonts w:ascii="仿宋_GB2312" w:hAnsi="仿宋" w:eastAsia="仿宋_GB2312" w:cs="Times New Roman"/>
          <w:color w:val="000000" w:themeColor="text1"/>
          <w:kern w:val="0"/>
          <w:szCs w:val="21"/>
        </w:rPr>
      </w:pPr>
      <w:r>
        <w:rPr>
          <w:rFonts w:hint="eastAsia" w:ascii="仿宋_GB2312" w:hAnsi="仿宋" w:eastAsia="仿宋_GB2312" w:cs="Times New Roman"/>
          <w:color w:val="000000" w:themeColor="text1"/>
          <w:kern w:val="0"/>
          <w:szCs w:val="21"/>
        </w:rPr>
        <w:t>（1）供应商须在中国境内注册，并在人员、设备、资金方面具有相应能力；</w:t>
      </w:r>
    </w:p>
    <w:p w14:paraId="228AA964">
      <w:pPr>
        <w:adjustRightInd w:val="0"/>
        <w:snapToGrid w:val="0"/>
        <w:spacing w:line="360" w:lineRule="auto"/>
        <w:ind w:firstLine="420" w:firstLineChars="200"/>
        <w:rPr>
          <w:rFonts w:ascii="仿宋_GB2312" w:hAnsi="仿宋" w:eastAsia="仿宋_GB2312" w:cs="Times New Roman"/>
          <w:color w:val="000000" w:themeColor="text1"/>
          <w:kern w:val="0"/>
          <w:szCs w:val="21"/>
        </w:rPr>
      </w:pPr>
      <w:r>
        <w:rPr>
          <w:rFonts w:hint="eastAsia" w:ascii="仿宋_GB2312" w:hAnsi="仿宋" w:eastAsia="仿宋_GB2312" w:cs="Times New Roman"/>
          <w:color w:val="000000" w:themeColor="text1"/>
          <w:kern w:val="0"/>
          <w:szCs w:val="21"/>
        </w:rPr>
        <w:t>（2）具有良好的商业信誉和健全的财务会计制度；</w:t>
      </w:r>
    </w:p>
    <w:p w14:paraId="0C85A52B">
      <w:pPr>
        <w:pStyle w:val="13"/>
        <w:spacing w:line="360" w:lineRule="auto"/>
        <w:ind w:firstLine="420" w:firstLineChars="200"/>
        <w:rPr>
          <w:rFonts w:hint="default" w:ascii="仿宋_GB2312" w:hAnsi="仿宋" w:eastAsia="仿宋_GB2312"/>
          <w:color w:val="000000" w:themeColor="text1"/>
          <w:sz w:val="21"/>
          <w:szCs w:val="21"/>
        </w:rPr>
      </w:pPr>
      <w:r>
        <w:rPr>
          <w:rFonts w:ascii="仿宋_GB2312" w:hAnsi="仿宋" w:eastAsia="仿宋_GB2312" w:cs="Times New Roman"/>
          <w:color w:val="000000" w:themeColor="text1"/>
          <w:sz w:val="21"/>
          <w:szCs w:val="21"/>
        </w:rPr>
        <w:t>（3）具有履行合同所必需的设备和专业技术能力；</w:t>
      </w:r>
    </w:p>
    <w:p w14:paraId="366811A7">
      <w:pPr>
        <w:pStyle w:val="13"/>
        <w:spacing w:line="360" w:lineRule="auto"/>
        <w:ind w:firstLine="105" w:firstLineChars="50"/>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（二）本项目的特定资格要求：</w:t>
      </w:r>
    </w:p>
    <w:p w14:paraId="2735A7E5">
      <w:pPr>
        <w:pStyle w:val="13"/>
        <w:spacing w:line="360" w:lineRule="auto"/>
        <w:ind w:firstLine="420" w:firstLineChars="200"/>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（1）需提供有效期内的《营业执照》（经营范围包含餐饮服务）、</w:t>
      </w:r>
      <w:r>
        <w:rPr>
          <w:rFonts w:ascii="仿宋_GB2312" w:hAnsi="仿宋" w:eastAsia="仿宋_GB2312" w:cs="Times New Roman"/>
          <w:color w:val="000000" w:themeColor="text1"/>
          <w:sz w:val="21"/>
          <w:szCs w:val="21"/>
        </w:rPr>
        <w:t>食品经营许可证</w:t>
      </w:r>
      <w:r>
        <w:rPr>
          <w:rFonts w:ascii="仿宋_GB2312" w:hAnsi="仿宋" w:eastAsia="仿宋_GB2312"/>
          <w:color w:val="000000" w:themeColor="text1"/>
          <w:sz w:val="21"/>
          <w:szCs w:val="21"/>
        </w:rPr>
        <w:t>。</w:t>
      </w:r>
    </w:p>
    <w:p w14:paraId="1479A7E1">
      <w:pPr>
        <w:pStyle w:val="13"/>
        <w:spacing w:line="360" w:lineRule="auto"/>
        <w:ind w:firstLine="420" w:firstLineChars="200"/>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2）近3年（自招标公告发布之日起倒算）无食品安全事故记录（需提供市场监管部门出具的无违规证明或相关网站截图）；未被列入“失信被执行人名单”“食品安全黑名单”（以“信用中国”“国家企业信用信息公示系统”查询结果为准）。</w:t>
      </w:r>
    </w:p>
    <w:p w14:paraId="3B16D8AC">
      <w:pPr>
        <w:pStyle w:val="13"/>
        <w:spacing w:line="360" w:lineRule="auto"/>
        <w:outlineLvl w:val="2"/>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五、采购文件获取时间、方式及地址</w:t>
      </w:r>
    </w:p>
    <w:p w14:paraId="2ADFB4FB">
      <w:pPr>
        <w:pStyle w:val="13"/>
        <w:spacing w:line="360" w:lineRule="auto"/>
        <w:ind w:firstLine="140" w:firstLineChars="67"/>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采购文件获取时间： 2026年 </w:t>
      </w:r>
      <w:r>
        <w:rPr>
          <w:rFonts w:hint="default" w:ascii="仿宋_GB2312" w:hAnsi="仿宋" w:eastAsia="仿宋_GB2312"/>
          <w:color w:val="000000" w:themeColor="text1"/>
          <w:sz w:val="21"/>
          <w:szCs w:val="21"/>
        </w:rPr>
        <w:t>1</w:t>
      </w:r>
      <w:r>
        <w:rPr>
          <w:rFonts w:ascii="仿宋_GB2312" w:hAnsi="仿宋" w:eastAsia="仿宋_GB2312"/>
          <w:color w:val="000000" w:themeColor="text1"/>
          <w:sz w:val="21"/>
          <w:szCs w:val="21"/>
        </w:rPr>
        <w:t xml:space="preserve"> 月 </w:t>
      </w:r>
      <w:r>
        <w:rPr>
          <w:rFonts w:hint="default" w:ascii="仿宋_GB2312" w:hAnsi="仿宋" w:eastAsia="仿宋_GB2312"/>
          <w:color w:val="000000" w:themeColor="text1"/>
          <w:sz w:val="21"/>
          <w:szCs w:val="21"/>
        </w:rPr>
        <w:t>29</w:t>
      </w:r>
      <w:r>
        <w:rPr>
          <w:rFonts w:ascii="仿宋_GB2312" w:hAnsi="仿宋" w:eastAsia="仿宋_GB2312"/>
          <w:color w:val="000000" w:themeColor="text1"/>
          <w:sz w:val="21"/>
          <w:szCs w:val="21"/>
        </w:rPr>
        <w:t xml:space="preserve"> 日 </w:t>
      </w:r>
      <w:r>
        <w:rPr>
          <w:rFonts w:hint="default" w:ascii="仿宋_GB2312" w:hAnsi="仿宋" w:eastAsia="仿宋_GB2312"/>
          <w:color w:val="000000" w:themeColor="text1"/>
          <w:sz w:val="21"/>
          <w:szCs w:val="21"/>
        </w:rPr>
        <w:t>08</w:t>
      </w:r>
      <w:r>
        <w:rPr>
          <w:rFonts w:ascii="仿宋_GB2312" w:hAnsi="仿宋" w:eastAsia="仿宋_GB2312"/>
          <w:color w:val="000000" w:themeColor="text1"/>
          <w:sz w:val="21"/>
          <w:szCs w:val="21"/>
        </w:rPr>
        <w:t>:</w:t>
      </w:r>
      <w:r>
        <w:rPr>
          <w:rFonts w:hint="default" w:ascii="仿宋_GB2312" w:hAnsi="仿宋" w:eastAsia="仿宋_GB2312"/>
          <w:color w:val="000000" w:themeColor="text1"/>
          <w:sz w:val="21"/>
          <w:szCs w:val="21"/>
        </w:rPr>
        <w:t>30</w:t>
      </w:r>
      <w:r>
        <w:rPr>
          <w:rFonts w:ascii="仿宋_GB2312" w:hAnsi="仿宋" w:eastAsia="仿宋_GB2312"/>
          <w:color w:val="000000" w:themeColor="text1"/>
          <w:sz w:val="21"/>
          <w:szCs w:val="21"/>
        </w:rPr>
        <w:t xml:space="preserve">:00 至 2026年 </w:t>
      </w:r>
      <w:r>
        <w:rPr>
          <w:rFonts w:hint="default" w:ascii="仿宋_GB2312" w:hAnsi="仿宋" w:eastAsia="仿宋_GB2312"/>
          <w:color w:val="000000" w:themeColor="text1"/>
          <w:sz w:val="21"/>
          <w:szCs w:val="21"/>
        </w:rPr>
        <w:t>2</w:t>
      </w:r>
      <w:r>
        <w:rPr>
          <w:rFonts w:ascii="仿宋_GB2312" w:hAnsi="仿宋" w:eastAsia="仿宋_GB2312"/>
          <w:color w:val="000000" w:themeColor="text1"/>
          <w:sz w:val="21"/>
          <w:szCs w:val="21"/>
        </w:rPr>
        <w:t xml:space="preserve"> 月</w:t>
      </w:r>
      <w:r>
        <w:rPr>
          <w:rFonts w:hint="default" w:ascii="仿宋_GB2312" w:hAnsi="仿宋" w:eastAsia="仿宋_GB2312"/>
          <w:color w:val="000000" w:themeColor="text1"/>
          <w:sz w:val="21"/>
          <w:szCs w:val="21"/>
        </w:rPr>
        <w:t>5</w:t>
      </w:r>
      <w:r>
        <w:rPr>
          <w:rFonts w:ascii="仿宋_GB2312" w:hAnsi="仿宋" w:eastAsia="仿宋_GB2312"/>
          <w:color w:val="000000" w:themeColor="text1"/>
          <w:sz w:val="21"/>
          <w:szCs w:val="21"/>
        </w:rPr>
        <w:t xml:space="preserve">日 </w:t>
      </w:r>
      <w:r>
        <w:rPr>
          <w:rFonts w:hint="default" w:ascii="仿宋_GB2312" w:hAnsi="仿宋" w:eastAsia="仿宋_GB2312"/>
          <w:color w:val="000000" w:themeColor="text1"/>
          <w:sz w:val="21"/>
          <w:szCs w:val="21"/>
        </w:rPr>
        <w:t>17</w:t>
      </w:r>
      <w:r>
        <w:rPr>
          <w:rFonts w:ascii="仿宋_GB2312" w:hAnsi="仿宋" w:eastAsia="仿宋_GB2312"/>
          <w:color w:val="000000" w:themeColor="text1"/>
          <w:sz w:val="21"/>
          <w:szCs w:val="21"/>
        </w:rPr>
        <w:t>:</w:t>
      </w:r>
      <w:r>
        <w:rPr>
          <w:rFonts w:hint="default" w:ascii="仿宋_GB2312" w:hAnsi="仿宋" w:eastAsia="仿宋_GB2312"/>
          <w:color w:val="000000" w:themeColor="text1"/>
          <w:sz w:val="21"/>
          <w:szCs w:val="21"/>
        </w:rPr>
        <w:t>00</w:t>
      </w:r>
      <w:r>
        <w:rPr>
          <w:rFonts w:ascii="仿宋_GB2312" w:hAnsi="仿宋" w:eastAsia="仿宋_GB2312"/>
          <w:color w:val="000000" w:themeColor="text1"/>
          <w:sz w:val="21"/>
          <w:szCs w:val="21"/>
        </w:rPr>
        <w:t>:</w:t>
      </w:r>
      <w:r>
        <w:rPr>
          <w:rFonts w:hint="default" w:ascii="仿宋_GB2312" w:hAnsi="仿宋" w:eastAsia="仿宋_GB2312"/>
          <w:color w:val="000000" w:themeColor="text1"/>
          <w:sz w:val="21"/>
          <w:szCs w:val="21"/>
        </w:rPr>
        <w:t>00</w:t>
      </w:r>
      <w:r>
        <w:rPr>
          <w:rFonts w:ascii="仿宋_GB2312" w:hAnsi="仿宋" w:eastAsia="仿宋_GB2312"/>
          <w:color w:val="000000" w:themeColor="text1"/>
          <w:sz w:val="21"/>
          <w:szCs w:val="21"/>
        </w:rPr>
        <w:t xml:space="preserve">  （北京时间）。</w:t>
      </w:r>
    </w:p>
    <w:p w14:paraId="6D7E32E4">
      <w:pPr>
        <w:pStyle w:val="13"/>
        <w:spacing w:line="360" w:lineRule="auto"/>
        <w:rPr>
          <w:rFonts w:hint="default" w:ascii="仿宋_GB2312" w:hAnsi="仿宋" w:eastAsia="仿宋_GB2312"/>
          <w:bCs/>
          <w:color w:val="000000" w:themeColor="text1"/>
          <w:sz w:val="21"/>
          <w:szCs w:val="21"/>
        </w:rPr>
      </w:pPr>
      <w:r>
        <w:rPr>
          <w:rFonts w:ascii="仿宋_GB2312" w:hAnsi="仿宋" w:eastAsia="仿宋_GB2312"/>
          <w:color w:val="000000" w:themeColor="text1"/>
          <w:sz w:val="21"/>
          <w:szCs w:val="21"/>
        </w:rPr>
        <w:t xml:space="preserve">  获取地址： </w:t>
      </w:r>
      <w:r>
        <w:rPr>
          <w:rFonts w:ascii="仿宋_GB2312" w:hAnsi="仿宋" w:eastAsia="仿宋_GB2312"/>
          <w:bCs/>
          <w:color w:val="000000" w:themeColor="text1"/>
          <w:sz w:val="21"/>
          <w:szCs w:val="21"/>
        </w:rPr>
        <w:t>全国公共资源交易平台（辽宁省·本溪市）（</w:t>
      </w:r>
      <w:r>
        <w:fldChar w:fldCharType="begin"/>
      </w:r>
      <w:r>
        <w:instrText xml:space="preserve"> HYPERLINK "https://ggzyjy.benxi.gov.cn/" </w:instrText>
      </w:r>
      <w:r>
        <w:fldChar w:fldCharType="separate"/>
      </w:r>
      <w:r>
        <w:rPr>
          <w:rStyle w:val="12"/>
          <w:rFonts w:ascii="仿宋_GB2312" w:hAnsi="仿宋" w:eastAsia="仿宋_GB2312"/>
          <w:bCs/>
          <w:color w:val="000000" w:themeColor="text1"/>
          <w:sz w:val="21"/>
          <w:szCs w:val="21"/>
        </w:rPr>
        <w:t>https://ggzyjy.benxi.gov.cn/</w:t>
      </w:r>
      <w:r>
        <w:rPr>
          <w:rStyle w:val="12"/>
          <w:rFonts w:ascii="仿宋_GB2312" w:hAnsi="仿宋" w:eastAsia="仿宋_GB2312"/>
          <w:bCs/>
          <w:color w:val="000000" w:themeColor="text1"/>
          <w:sz w:val="21"/>
          <w:szCs w:val="21"/>
        </w:rPr>
        <w:fldChar w:fldCharType="end"/>
      </w:r>
      <w:r>
        <w:rPr>
          <w:rFonts w:ascii="仿宋_GB2312" w:hAnsi="仿宋" w:eastAsia="仿宋_GB2312"/>
          <w:bCs/>
          <w:color w:val="000000" w:themeColor="text1"/>
          <w:sz w:val="21"/>
          <w:szCs w:val="21"/>
        </w:rPr>
        <w:t>）</w:t>
      </w:r>
    </w:p>
    <w:p w14:paraId="55BD44E9">
      <w:pPr>
        <w:adjustRightInd w:val="0"/>
        <w:snapToGrid w:val="0"/>
        <w:spacing w:line="360" w:lineRule="auto"/>
        <w:ind w:firstLine="210" w:firstLineChars="100"/>
        <w:rPr>
          <w:rFonts w:ascii="仿宋_GB2312" w:hAnsi="仿宋_GB2312" w:eastAsia="仿宋_GB2312" w:cs="仿宋_GB2312"/>
          <w:color w:val="000000" w:themeColor="text1"/>
          <w:szCs w:val="21"/>
          <w:u w:val="single"/>
        </w:rPr>
      </w:pPr>
      <w:r>
        <w:rPr>
          <w:rFonts w:hint="eastAsia" w:ascii="仿宋_GB2312" w:hAnsi="仿宋_GB2312" w:eastAsia="仿宋_GB2312" w:cs="仿宋_GB2312"/>
          <w:color w:val="000000" w:themeColor="text1"/>
          <w:szCs w:val="21"/>
        </w:rPr>
        <w:t>方式：在线下载</w:t>
      </w:r>
    </w:p>
    <w:p w14:paraId="5620125F">
      <w:pPr>
        <w:pStyle w:val="13"/>
        <w:spacing w:line="360" w:lineRule="auto"/>
        <w:ind w:firstLine="210" w:firstLineChars="100"/>
        <w:rPr>
          <w:rFonts w:hint="default" w:ascii="仿宋_GB2312" w:hAnsi="仿宋" w:eastAsia="仿宋_GB2312"/>
          <w:bCs/>
          <w:color w:val="000000" w:themeColor="text1"/>
          <w:sz w:val="21"/>
          <w:szCs w:val="21"/>
        </w:rPr>
      </w:pPr>
      <w:r>
        <w:rPr>
          <w:rFonts w:ascii="仿宋_GB2312" w:hAnsi="仿宋_GB2312" w:eastAsia="仿宋_GB2312" w:cs="仿宋_GB2312"/>
          <w:color w:val="000000" w:themeColor="text1"/>
          <w:kern w:val="2"/>
          <w:sz w:val="21"/>
          <w:szCs w:val="21"/>
        </w:rPr>
        <w:t>售价：免费</w:t>
      </w:r>
    </w:p>
    <w:p w14:paraId="40CEF7E9">
      <w:pPr>
        <w:pStyle w:val="13"/>
        <w:spacing w:line="360" w:lineRule="auto"/>
        <w:outlineLvl w:val="2"/>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六、响应文件提交截止时间及开启时间、地点、方式</w:t>
      </w:r>
    </w:p>
    <w:p w14:paraId="42180FB2">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(一)响应文件提交截止时间及开启时间： 2026年 </w:t>
      </w:r>
      <w:r>
        <w:rPr>
          <w:rFonts w:hint="default" w:ascii="仿宋_GB2312" w:hAnsi="仿宋" w:eastAsia="仿宋_GB2312"/>
          <w:color w:val="000000" w:themeColor="text1"/>
          <w:sz w:val="21"/>
          <w:szCs w:val="21"/>
        </w:rPr>
        <w:t>2</w:t>
      </w:r>
      <w:r>
        <w:rPr>
          <w:rFonts w:ascii="仿宋_GB2312" w:hAnsi="仿宋" w:eastAsia="仿宋_GB2312"/>
          <w:color w:val="000000" w:themeColor="text1"/>
          <w:sz w:val="21"/>
          <w:szCs w:val="21"/>
        </w:rPr>
        <w:t xml:space="preserve"> 月 </w:t>
      </w:r>
      <w:r>
        <w:rPr>
          <w:rFonts w:hint="default" w:ascii="仿宋_GB2312" w:hAnsi="仿宋" w:eastAsia="仿宋_GB2312"/>
          <w:color w:val="000000" w:themeColor="text1"/>
          <w:sz w:val="21"/>
          <w:szCs w:val="21"/>
        </w:rPr>
        <w:t>9</w:t>
      </w:r>
      <w:r>
        <w:rPr>
          <w:rFonts w:ascii="仿宋_GB2312" w:hAnsi="仿宋" w:eastAsia="仿宋_GB2312"/>
          <w:color w:val="000000" w:themeColor="text1"/>
          <w:sz w:val="21"/>
          <w:szCs w:val="21"/>
        </w:rPr>
        <w:t xml:space="preserve"> 日 09时00分00秒 （北京时间）。</w:t>
      </w:r>
    </w:p>
    <w:p w14:paraId="32E40EC7">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(二)响应文件提交方式、地点：本溪市公共资源交易中心开标室1。</w:t>
      </w:r>
    </w:p>
    <w:p w14:paraId="7A86C1B3">
      <w:pPr>
        <w:adjustRightInd w:val="0"/>
        <w:snapToGrid w:val="0"/>
        <w:spacing w:line="360" w:lineRule="auto"/>
        <w:rPr>
          <w:rFonts w:ascii="仿宋_GB2312" w:hAnsi="仿宋_GB2312" w:eastAsia="仿宋_GB2312" w:cs="仿宋_GB2312"/>
          <w:b/>
          <w:color w:val="000000" w:themeColor="text1"/>
          <w:szCs w:val="21"/>
        </w:rPr>
      </w:pPr>
      <w:r>
        <w:rPr>
          <w:rFonts w:ascii="仿宋_GB2312" w:hAnsi="仿宋" w:eastAsia="仿宋_GB2312"/>
          <w:b/>
          <w:color w:val="000000" w:themeColor="text1"/>
          <w:szCs w:val="21"/>
        </w:rPr>
        <w:t>七、</w:t>
      </w:r>
      <w:r>
        <w:rPr>
          <w:rFonts w:hint="eastAsia" w:ascii="仿宋_GB2312" w:hAnsi="仿宋_GB2312" w:eastAsia="仿宋_GB2312" w:cs="仿宋_GB2312"/>
          <w:b/>
          <w:color w:val="000000" w:themeColor="text1"/>
          <w:szCs w:val="21"/>
        </w:rPr>
        <w:t>公告期限</w:t>
      </w:r>
    </w:p>
    <w:p w14:paraId="0BEBC0B6">
      <w:pPr>
        <w:adjustRightInd w:val="0"/>
        <w:snapToGrid w:val="0"/>
        <w:spacing w:line="360" w:lineRule="auto"/>
        <w:ind w:firstLine="420" w:firstLineChars="200"/>
        <w:rPr>
          <w:rFonts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自本公告发布之日起</w:t>
      </w:r>
      <w:r>
        <w:rPr>
          <w:rFonts w:ascii="仿宋_GB2312" w:hAnsi="仿宋_GB2312" w:eastAsia="仿宋_GB2312" w:cs="仿宋_GB2312"/>
          <w:color w:val="000000" w:themeColor="text1"/>
          <w:kern w:val="0"/>
          <w:szCs w:val="21"/>
        </w:rPr>
        <w:t>3</w:t>
      </w:r>
      <w:r>
        <w:rPr>
          <w:rFonts w:hint="eastAsia" w:ascii="仿宋_GB2312" w:hAnsi="仿宋_GB2312" w:eastAsia="仿宋_GB2312" w:cs="仿宋_GB2312"/>
          <w:color w:val="000000" w:themeColor="text1"/>
          <w:kern w:val="0"/>
          <w:szCs w:val="21"/>
        </w:rPr>
        <w:t>个工作日。</w:t>
      </w:r>
    </w:p>
    <w:p w14:paraId="71275DF7">
      <w:pPr>
        <w:pStyle w:val="13"/>
        <w:spacing w:line="360" w:lineRule="auto"/>
        <w:outlineLvl w:val="2"/>
        <w:rPr>
          <w:rFonts w:hint="default" w:ascii="仿宋_GB2312" w:hAnsi="仿宋" w:eastAsia="仿宋_GB2312"/>
          <w:b/>
          <w:color w:val="000000" w:themeColor="text1"/>
          <w:sz w:val="21"/>
          <w:szCs w:val="21"/>
        </w:rPr>
      </w:pPr>
      <w:r>
        <w:rPr>
          <w:rFonts w:ascii="仿宋_GB2312" w:hAnsi="仿宋" w:eastAsia="仿宋_GB2312"/>
          <w:b/>
          <w:color w:val="000000" w:themeColor="text1"/>
          <w:sz w:val="21"/>
          <w:szCs w:val="21"/>
        </w:rPr>
        <w:t>八、联系方式</w:t>
      </w:r>
    </w:p>
    <w:p w14:paraId="12EC93A5">
      <w:pPr>
        <w:adjustRightInd w:val="0"/>
        <w:snapToGrid w:val="0"/>
        <w:spacing w:line="360" w:lineRule="auto"/>
        <w:ind w:left="495" w:firstLine="210" w:firstLineChars="100"/>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1.采购人信息</w:t>
      </w:r>
    </w:p>
    <w:p w14:paraId="518DC680">
      <w:pPr>
        <w:widowControl/>
        <w:adjustRightInd w:val="0"/>
        <w:snapToGrid w:val="0"/>
        <w:spacing w:line="360" w:lineRule="auto"/>
        <w:ind w:firstLine="613" w:firstLineChars="292"/>
        <w:jc w:val="left"/>
        <w:rPr>
          <w:rFonts w:ascii="仿宋_GB2312" w:hAnsi="仿宋" w:eastAsia="仿宋_GB2312"/>
          <w:color w:val="000000" w:themeColor="text1"/>
          <w:szCs w:val="21"/>
        </w:rPr>
      </w:pPr>
      <w:r>
        <w:rPr>
          <w:rFonts w:hint="eastAsia" w:ascii="仿宋_GB2312" w:hAnsi="仿宋" w:eastAsia="仿宋_GB2312"/>
          <w:color w:val="000000" w:themeColor="text1"/>
          <w:szCs w:val="21"/>
        </w:rPr>
        <w:t>名称： 本溪市教育局</w:t>
      </w:r>
    </w:p>
    <w:p w14:paraId="33AAFF0F">
      <w:pPr>
        <w:widowControl/>
        <w:adjustRightInd w:val="0"/>
        <w:snapToGrid w:val="0"/>
        <w:spacing w:line="360" w:lineRule="auto"/>
        <w:ind w:firstLine="613" w:firstLineChars="292"/>
        <w:jc w:val="left"/>
        <w:rPr>
          <w:rFonts w:ascii="仿宋_GB2312" w:hAnsi="仿宋" w:eastAsia="仿宋_GB2312"/>
          <w:color w:val="000000" w:themeColor="text1"/>
          <w:szCs w:val="21"/>
        </w:rPr>
      </w:pPr>
      <w:r>
        <w:rPr>
          <w:rFonts w:hint="eastAsia" w:ascii="仿宋_GB2312" w:hAnsi="仿宋" w:eastAsia="仿宋_GB2312"/>
          <w:color w:val="000000" w:themeColor="text1"/>
          <w:szCs w:val="21"/>
        </w:rPr>
        <w:t>地址： 本溪市平山区</w:t>
      </w:r>
    </w:p>
    <w:p w14:paraId="724E4079">
      <w:pPr>
        <w:widowControl/>
        <w:adjustRightInd w:val="0"/>
        <w:snapToGrid w:val="0"/>
        <w:spacing w:line="360" w:lineRule="auto"/>
        <w:ind w:firstLine="613" w:firstLineChars="292"/>
        <w:jc w:val="left"/>
        <w:rPr>
          <w:rFonts w:ascii="仿宋_GB2312" w:hAnsi="仿宋" w:eastAsia="仿宋_GB2312"/>
          <w:color w:val="000000" w:themeColor="text1"/>
          <w:szCs w:val="21"/>
        </w:rPr>
      </w:pPr>
      <w:r>
        <w:rPr>
          <w:rFonts w:hint="eastAsia" w:ascii="仿宋_GB2312" w:hAnsi="仿宋" w:eastAsia="仿宋_GB2312"/>
          <w:color w:val="000000" w:themeColor="text1"/>
          <w:szCs w:val="21"/>
        </w:rPr>
        <w:t>联系方式：024-42805915</w:t>
      </w:r>
    </w:p>
    <w:p w14:paraId="2E2884C2">
      <w:pPr>
        <w:adjustRightInd w:val="0"/>
        <w:snapToGrid w:val="0"/>
        <w:spacing w:line="360" w:lineRule="auto"/>
        <w:ind w:left="495" w:firstLine="210" w:firstLineChars="100"/>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2.采购代理机构信息</w:t>
      </w:r>
    </w:p>
    <w:p w14:paraId="3ACE804A">
      <w:pPr>
        <w:adjustRightInd w:val="0"/>
        <w:snapToGrid w:val="0"/>
        <w:spacing w:line="360" w:lineRule="auto"/>
        <w:ind w:firstLine="630" w:firstLineChars="300"/>
        <w:rPr>
          <w:rFonts w:ascii="仿宋_GB2312" w:hAnsi="仿宋" w:eastAsia="仿宋_GB2312"/>
          <w:color w:val="000000" w:themeColor="text1"/>
          <w:szCs w:val="21"/>
        </w:rPr>
      </w:pPr>
      <w:r>
        <w:rPr>
          <w:rFonts w:hint="eastAsia" w:ascii="仿宋_GB2312" w:hAnsi="仿宋" w:eastAsia="仿宋_GB2312"/>
          <w:color w:val="000000" w:themeColor="text1"/>
          <w:szCs w:val="21"/>
        </w:rPr>
        <w:t>名称： 本溪市公共资源交易中心（本溪市政府采购中心）</w:t>
      </w:r>
    </w:p>
    <w:p w14:paraId="750DDEE4">
      <w:pPr>
        <w:adjustRightInd w:val="0"/>
        <w:snapToGrid w:val="0"/>
        <w:spacing w:line="360" w:lineRule="auto"/>
        <w:ind w:firstLine="630" w:firstLineChars="300"/>
        <w:rPr>
          <w:rFonts w:ascii="仿宋_GB2312" w:hAnsi="仿宋" w:eastAsia="仿宋_GB2312"/>
          <w:color w:val="000000" w:themeColor="text1"/>
          <w:szCs w:val="21"/>
        </w:rPr>
      </w:pPr>
      <w:r>
        <w:rPr>
          <w:rFonts w:hint="eastAsia" w:ascii="仿宋_GB2312" w:hAnsi="仿宋" w:eastAsia="仿宋_GB2312"/>
          <w:color w:val="000000" w:themeColor="text1"/>
          <w:szCs w:val="21"/>
        </w:rPr>
        <w:t>地址： 辽宁省本溪市明山区解放北路101号</w:t>
      </w:r>
    </w:p>
    <w:p w14:paraId="2A13D59A">
      <w:pPr>
        <w:adjustRightInd w:val="0"/>
        <w:snapToGrid w:val="0"/>
        <w:spacing w:line="360" w:lineRule="auto"/>
        <w:ind w:firstLine="630" w:firstLineChars="300"/>
        <w:rPr>
          <w:rFonts w:ascii="仿宋_GB2312" w:hAnsi="仿宋" w:eastAsia="仿宋_GB2312"/>
          <w:color w:val="000000" w:themeColor="text1"/>
          <w:szCs w:val="21"/>
        </w:rPr>
      </w:pPr>
      <w:r>
        <w:rPr>
          <w:rFonts w:hint="eastAsia" w:ascii="仿宋_GB2312" w:hAnsi="仿宋" w:eastAsia="仿宋_GB2312"/>
          <w:color w:val="000000" w:themeColor="text1"/>
          <w:szCs w:val="21"/>
        </w:rPr>
        <w:t>联系方式：024-47264270</w:t>
      </w:r>
    </w:p>
    <w:p w14:paraId="67E7B5B4">
      <w:pPr>
        <w:adjustRightInd w:val="0"/>
        <w:snapToGrid w:val="0"/>
        <w:spacing w:line="360" w:lineRule="auto"/>
        <w:ind w:firstLine="630" w:firstLineChars="300"/>
        <w:rPr>
          <w:rFonts w:ascii="仿宋_GB2312" w:hAnsi="仿宋" w:eastAsia="仿宋_GB2312"/>
          <w:color w:val="000000" w:themeColor="text1"/>
          <w:szCs w:val="21"/>
        </w:rPr>
      </w:pPr>
      <w:r>
        <w:rPr>
          <w:rFonts w:hint="eastAsia" w:ascii="仿宋_GB2312" w:hAnsi="仿宋" w:eastAsia="仿宋_GB2312"/>
          <w:color w:val="000000" w:themeColor="text1"/>
          <w:szCs w:val="21"/>
        </w:rPr>
        <w:t>邮箱地址：jiaoyidailichu@163.com</w:t>
      </w:r>
    </w:p>
    <w:p w14:paraId="66DFC6E1">
      <w:pPr>
        <w:adjustRightInd w:val="0"/>
        <w:snapToGrid w:val="0"/>
        <w:spacing w:line="360" w:lineRule="auto"/>
        <w:ind w:firstLine="630" w:firstLineChars="300"/>
        <w:rPr>
          <w:rFonts w:ascii="仿宋_GB2312" w:hAnsi="仿宋" w:eastAsia="仿宋_GB2312"/>
          <w:color w:val="000000" w:themeColor="text1"/>
          <w:szCs w:val="21"/>
        </w:rPr>
      </w:pPr>
      <w:r>
        <w:rPr>
          <w:rFonts w:hint="eastAsia" w:ascii="仿宋_GB2312" w:hAnsi="仿宋" w:eastAsia="仿宋_GB2312"/>
          <w:color w:val="000000" w:themeColor="text1"/>
          <w:szCs w:val="21"/>
        </w:rPr>
        <w:t>开户行：本溪银行股份有限公司鸿雁支行</w:t>
      </w:r>
    </w:p>
    <w:p w14:paraId="493A12E3">
      <w:pPr>
        <w:adjustRightInd w:val="0"/>
        <w:snapToGrid w:val="0"/>
        <w:spacing w:line="360" w:lineRule="auto"/>
        <w:ind w:firstLine="630" w:firstLineChars="300"/>
        <w:rPr>
          <w:rFonts w:ascii="仿宋_GB2312" w:hAnsi="仿宋" w:eastAsia="仿宋_GB2312"/>
          <w:color w:val="000000" w:themeColor="text1"/>
          <w:szCs w:val="21"/>
        </w:rPr>
      </w:pPr>
      <w:r>
        <w:rPr>
          <w:rFonts w:hint="eastAsia" w:ascii="仿宋_GB2312" w:hAnsi="仿宋" w:eastAsia="仿宋_GB2312"/>
          <w:color w:val="000000" w:themeColor="text1"/>
          <w:szCs w:val="21"/>
        </w:rPr>
        <w:t>账户名称： 本溪市公共资源交易中心（本溪市政府采购中心）</w:t>
      </w:r>
    </w:p>
    <w:p w14:paraId="70732D52">
      <w:pPr>
        <w:adjustRightInd w:val="0"/>
        <w:snapToGrid w:val="0"/>
        <w:spacing w:line="360" w:lineRule="auto"/>
        <w:ind w:firstLine="630" w:firstLineChars="300"/>
        <w:rPr>
          <w:rFonts w:ascii="仿宋_GB2312" w:hAnsi="仿宋" w:eastAsia="仿宋_GB2312"/>
          <w:color w:val="000000" w:themeColor="text1"/>
          <w:szCs w:val="21"/>
        </w:rPr>
      </w:pPr>
      <w:r>
        <w:rPr>
          <w:rFonts w:hint="eastAsia" w:ascii="仿宋_GB2312" w:hAnsi="仿宋" w:eastAsia="仿宋_GB2312"/>
          <w:color w:val="000000" w:themeColor="text1"/>
          <w:szCs w:val="21"/>
        </w:rPr>
        <w:t>账号：500105759501880004</w:t>
      </w:r>
    </w:p>
    <w:p w14:paraId="27910490">
      <w:pPr>
        <w:adjustRightInd w:val="0"/>
        <w:snapToGrid w:val="0"/>
        <w:spacing w:line="360" w:lineRule="auto"/>
        <w:ind w:left="495" w:firstLine="210" w:firstLineChars="100"/>
        <w:rPr>
          <w:rFonts w:ascii="仿宋_GB2312" w:hAnsi="仿宋" w:eastAsia="仿宋_GB2312"/>
          <w:color w:val="000000" w:themeColor="text1"/>
          <w:szCs w:val="21"/>
        </w:rPr>
      </w:pPr>
      <w:r>
        <w:rPr>
          <w:rFonts w:hint="eastAsia" w:ascii="仿宋_GB2312" w:hAnsi="仿宋" w:eastAsia="仿宋_GB2312"/>
          <w:color w:val="000000" w:themeColor="text1"/>
          <w:szCs w:val="21"/>
        </w:rPr>
        <w:t>3.项目联系方式</w:t>
      </w:r>
    </w:p>
    <w:p w14:paraId="670D3C58">
      <w:pPr>
        <w:adjustRightInd w:val="0"/>
        <w:snapToGrid w:val="0"/>
        <w:spacing w:line="360" w:lineRule="auto"/>
        <w:ind w:left="495" w:firstLine="210" w:firstLineChars="100"/>
        <w:rPr>
          <w:rFonts w:ascii="仿宋_GB2312" w:hAnsi="仿宋" w:eastAsia="仿宋_GB2312"/>
          <w:color w:val="000000" w:themeColor="text1"/>
          <w:szCs w:val="21"/>
        </w:rPr>
      </w:pPr>
      <w:r>
        <w:rPr>
          <w:rFonts w:hint="eastAsia" w:ascii="仿宋_GB2312" w:hAnsi="仿宋" w:eastAsia="仿宋_GB2312"/>
          <w:color w:val="000000" w:themeColor="text1"/>
          <w:szCs w:val="21"/>
        </w:rPr>
        <w:t>项目联系人：李先生;</w:t>
      </w:r>
    </w:p>
    <w:p w14:paraId="5F5FF4E2">
      <w:pPr>
        <w:adjustRightInd w:val="0"/>
        <w:snapToGrid w:val="0"/>
        <w:spacing w:line="360" w:lineRule="auto"/>
        <w:ind w:left="495" w:firstLine="210" w:firstLineChars="100"/>
        <w:rPr>
          <w:rFonts w:ascii="仿宋_GB2312" w:hAnsi="仿宋" w:eastAsia="仿宋_GB2312"/>
          <w:color w:val="000000" w:themeColor="text1"/>
          <w:szCs w:val="21"/>
        </w:rPr>
      </w:pPr>
      <w:r>
        <w:rPr>
          <w:rFonts w:hint="eastAsia" w:ascii="仿宋_GB2312" w:hAnsi="仿宋" w:eastAsia="仿宋_GB2312"/>
          <w:color w:val="000000" w:themeColor="text1"/>
          <w:szCs w:val="21"/>
        </w:rPr>
        <w:t>电　话：024-47264270;</w:t>
      </w:r>
    </w:p>
    <w:bookmarkEnd w:id="12"/>
    <w:p w14:paraId="3FC1B350">
      <w:pPr>
        <w:pStyle w:val="13"/>
        <w:spacing w:line="360" w:lineRule="auto"/>
        <w:rPr>
          <w:rFonts w:hint="default" w:ascii="仿宋_GB2312" w:hAnsi="仿宋" w:eastAsia="仿宋_GB2312"/>
          <w:color w:val="000000" w:themeColor="text1"/>
          <w:sz w:val="21"/>
          <w:szCs w:val="21"/>
        </w:rPr>
      </w:pPr>
    </w:p>
    <w:p w14:paraId="2008408C">
      <w:pPr>
        <w:pStyle w:val="13"/>
        <w:spacing w:line="360" w:lineRule="auto"/>
        <w:rPr>
          <w:rFonts w:hint="default" w:ascii="仿宋_GB2312" w:hAnsi="仿宋" w:eastAsia="仿宋_GB2312"/>
          <w:color w:val="000000" w:themeColor="text1"/>
          <w:sz w:val="21"/>
          <w:szCs w:val="21"/>
        </w:rPr>
      </w:pPr>
    </w:p>
    <w:p w14:paraId="3DF912CA">
      <w:pPr>
        <w:pStyle w:val="13"/>
        <w:spacing w:line="360" w:lineRule="auto"/>
        <w:rPr>
          <w:rFonts w:hint="default" w:ascii="仿宋_GB2312" w:hAnsi="仿宋" w:eastAsia="仿宋_GB2312"/>
          <w:color w:val="000000" w:themeColor="text1"/>
          <w:sz w:val="21"/>
          <w:szCs w:val="21"/>
        </w:rPr>
      </w:pPr>
    </w:p>
    <w:p w14:paraId="3E771769">
      <w:pPr>
        <w:pStyle w:val="13"/>
        <w:spacing w:line="360" w:lineRule="auto"/>
        <w:rPr>
          <w:rFonts w:hint="default" w:ascii="仿宋_GB2312" w:hAnsi="仿宋" w:eastAsia="仿宋_GB2312"/>
          <w:color w:val="000000" w:themeColor="text1"/>
          <w:sz w:val="21"/>
          <w:szCs w:val="21"/>
        </w:rPr>
      </w:pPr>
    </w:p>
    <w:p w14:paraId="420F2A2B">
      <w:pPr>
        <w:pStyle w:val="13"/>
        <w:spacing w:line="360" w:lineRule="auto"/>
        <w:rPr>
          <w:rFonts w:hint="default" w:ascii="仿宋_GB2312" w:hAnsi="仿宋" w:eastAsia="仿宋_GB2312"/>
          <w:color w:val="000000" w:themeColor="text1"/>
          <w:sz w:val="21"/>
          <w:szCs w:val="21"/>
        </w:rPr>
      </w:pPr>
    </w:p>
    <w:p w14:paraId="22CD0FBE">
      <w:pPr>
        <w:pStyle w:val="13"/>
        <w:spacing w:line="360" w:lineRule="auto"/>
        <w:rPr>
          <w:rFonts w:hint="default" w:ascii="仿宋_GB2312" w:hAnsi="仿宋" w:eastAsia="仿宋_GB2312"/>
          <w:color w:val="000000" w:themeColor="text1"/>
          <w:sz w:val="21"/>
          <w:szCs w:val="21"/>
        </w:rPr>
      </w:pPr>
    </w:p>
    <w:p w14:paraId="20D28A4B">
      <w:pPr>
        <w:pStyle w:val="13"/>
        <w:spacing w:line="360" w:lineRule="auto"/>
        <w:rPr>
          <w:rFonts w:hint="default" w:ascii="仿宋_GB2312" w:hAnsi="仿宋" w:eastAsia="仿宋_GB2312"/>
          <w:color w:val="000000" w:themeColor="text1"/>
          <w:sz w:val="21"/>
          <w:szCs w:val="21"/>
        </w:rPr>
      </w:pPr>
    </w:p>
    <w:p w14:paraId="6E83AC22">
      <w:pPr>
        <w:pStyle w:val="13"/>
        <w:spacing w:line="360" w:lineRule="auto"/>
        <w:rPr>
          <w:rFonts w:hint="default" w:ascii="仿宋_GB2312" w:hAnsi="仿宋" w:eastAsia="仿宋_GB2312"/>
          <w:color w:val="000000" w:themeColor="text1"/>
          <w:sz w:val="21"/>
          <w:szCs w:val="21"/>
        </w:rPr>
      </w:pPr>
    </w:p>
    <w:p w14:paraId="5706EE26">
      <w:pPr>
        <w:pStyle w:val="13"/>
        <w:spacing w:line="360" w:lineRule="auto"/>
        <w:rPr>
          <w:rFonts w:hint="default" w:ascii="仿宋_GB2312" w:hAnsi="仿宋" w:eastAsia="仿宋_GB2312"/>
          <w:color w:val="000000" w:themeColor="text1"/>
          <w:sz w:val="21"/>
          <w:szCs w:val="21"/>
        </w:rPr>
      </w:pPr>
    </w:p>
    <w:p w14:paraId="7F79C6CB">
      <w:pPr>
        <w:pStyle w:val="13"/>
        <w:spacing w:line="360" w:lineRule="auto"/>
        <w:rPr>
          <w:rFonts w:hint="default" w:ascii="仿宋_GB2312" w:hAnsi="仿宋" w:eastAsia="仿宋_GB2312"/>
          <w:color w:val="000000" w:themeColor="text1"/>
          <w:sz w:val="21"/>
          <w:szCs w:val="21"/>
        </w:rPr>
      </w:pPr>
    </w:p>
    <w:p w14:paraId="52ED1110">
      <w:pPr>
        <w:pStyle w:val="13"/>
        <w:spacing w:line="360" w:lineRule="auto"/>
        <w:rPr>
          <w:rFonts w:hint="default" w:ascii="仿宋_GB2312" w:hAnsi="仿宋" w:eastAsia="仿宋_GB2312"/>
          <w:color w:val="000000" w:themeColor="text1"/>
          <w:sz w:val="21"/>
          <w:szCs w:val="21"/>
        </w:rPr>
      </w:pPr>
    </w:p>
    <w:p w14:paraId="0C024F1E">
      <w:pPr>
        <w:pStyle w:val="13"/>
        <w:spacing w:line="360" w:lineRule="auto"/>
        <w:rPr>
          <w:rFonts w:hint="default" w:ascii="仿宋_GB2312" w:hAnsi="仿宋" w:eastAsia="仿宋_GB2312"/>
          <w:color w:val="000000" w:themeColor="text1"/>
          <w:sz w:val="21"/>
          <w:szCs w:val="21"/>
        </w:rPr>
      </w:pPr>
    </w:p>
    <w:p w14:paraId="4335C7D7">
      <w:pPr>
        <w:pStyle w:val="13"/>
        <w:spacing w:line="360" w:lineRule="auto"/>
        <w:rPr>
          <w:rFonts w:hint="default" w:ascii="仿宋_GB2312" w:hAnsi="仿宋" w:eastAsia="仿宋_GB2312"/>
          <w:color w:val="000000" w:themeColor="text1"/>
          <w:sz w:val="21"/>
          <w:szCs w:val="21"/>
        </w:rPr>
      </w:pPr>
    </w:p>
    <w:p w14:paraId="0374C3DD">
      <w:pPr>
        <w:pStyle w:val="13"/>
        <w:spacing w:line="360" w:lineRule="auto"/>
        <w:rPr>
          <w:rFonts w:hint="default" w:ascii="仿宋_GB2312" w:hAnsi="仿宋" w:eastAsia="仿宋_GB2312"/>
          <w:color w:val="000000" w:themeColor="text1"/>
          <w:sz w:val="21"/>
          <w:szCs w:val="21"/>
        </w:rPr>
      </w:pPr>
    </w:p>
    <w:p w14:paraId="4B9338EC">
      <w:pPr>
        <w:pStyle w:val="13"/>
        <w:spacing w:line="360" w:lineRule="auto"/>
        <w:rPr>
          <w:rFonts w:hint="default" w:ascii="仿宋_GB2312" w:hAnsi="仿宋" w:eastAsia="仿宋_GB2312"/>
          <w:color w:val="000000" w:themeColor="text1"/>
          <w:sz w:val="21"/>
          <w:szCs w:val="21"/>
        </w:rPr>
      </w:pPr>
    </w:p>
    <w:p w14:paraId="3E536D35">
      <w:pPr>
        <w:pStyle w:val="13"/>
        <w:spacing w:line="360" w:lineRule="auto"/>
        <w:rPr>
          <w:rFonts w:hint="default" w:ascii="仿宋_GB2312" w:hAnsi="仿宋" w:eastAsia="仿宋_GB2312"/>
          <w:color w:val="000000" w:themeColor="text1"/>
          <w:sz w:val="21"/>
          <w:szCs w:val="21"/>
        </w:rPr>
      </w:pPr>
    </w:p>
    <w:p w14:paraId="7D48B876">
      <w:pPr>
        <w:pStyle w:val="13"/>
        <w:spacing w:line="360" w:lineRule="auto"/>
        <w:ind w:firstLine="2168" w:firstLineChars="600"/>
        <w:outlineLvl w:val="1"/>
        <w:rPr>
          <w:rFonts w:hint="default" w:ascii="仿宋_GB2312" w:hAnsi="仿宋" w:eastAsia="仿宋_GB2312"/>
          <w:color w:val="000000" w:themeColor="text1"/>
          <w:sz w:val="36"/>
          <w:szCs w:val="36"/>
        </w:rPr>
      </w:pPr>
      <w:r>
        <w:rPr>
          <w:rFonts w:ascii="仿宋_GB2312" w:hAnsi="仿宋" w:eastAsia="仿宋_GB2312"/>
          <w:b/>
          <w:color w:val="000000" w:themeColor="text1"/>
          <w:sz w:val="36"/>
          <w:szCs w:val="36"/>
        </w:rPr>
        <w:t xml:space="preserve">第二章 </w:t>
      </w:r>
      <w:r>
        <w:rPr>
          <w:rFonts w:hint="default" w:ascii="仿宋_GB2312" w:hAnsi="仿宋" w:eastAsia="仿宋_GB2312"/>
          <w:b/>
          <w:color w:val="000000" w:themeColor="text1"/>
          <w:sz w:val="36"/>
          <w:szCs w:val="36"/>
        </w:rPr>
        <w:t xml:space="preserve">   </w:t>
      </w:r>
      <w:r>
        <w:rPr>
          <w:rFonts w:ascii="仿宋_GB2312" w:hAnsi="仿宋" w:eastAsia="仿宋_GB2312"/>
          <w:b/>
          <w:color w:val="000000" w:themeColor="text1"/>
          <w:sz w:val="36"/>
          <w:szCs w:val="36"/>
        </w:rPr>
        <w:t>供应商须知</w:t>
      </w:r>
    </w:p>
    <w:p w14:paraId="6A68BA37">
      <w:pPr>
        <w:pStyle w:val="13"/>
        <w:spacing w:line="360" w:lineRule="auto"/>
        <w:outlineLvl w:val="2"/>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2.1 供应商须知前附表</w:t>
      </w:r>
    </w:p>
    <w:tbl>
      <w:tblPr>
        <w:tblStyle w:val="9"/>
        <w:tblW w:w="946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0"/>
        <w:gridCol w:w="2498"/>
        <w:gridCol w:w="6306"/>
      </w:tblGrid>
      <w:tr w14:paraId="266A9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56015585">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序号</w:t>
            </w:r>
          </w:p>
        </w:tc>
        <w:tc>
          <w:tcPr>
            <w:tcW w:w="2628" w:type="dxa"/>
          </w:tcPr>
          <w:p w14:paraId="027A32A0">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应知事项</w:t>
            </w:r>
          </w:p>
        </w:tc>
        <w:tc>
          <w:tcPr>
            <w:tcW w:w="6161" w:type="dxa"/>
          </w:tcPr>
          <w:p w14:paraId="41B7D8E4">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说明和要求</w:t>
            </w:r>
          </w:p>
        </w:tc>
      </w:tr>
      <w:tr w14:paraId="120708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19DCB01D">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1.</w:t>
            </w:r>
          </w:p>
        </w:tc>
        <w:tc>
          <w:tcPr>
            <w:tcW w:w="2628" w:type="dxa"/>
          </w:tcPr>
          <w:p w14:paraId="69B18F61">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固定价格</w:t>
            </w:r>
          </w:p>
        </w:tc>
        <w:tc>
          <w:tcPr>
            <w:tcW w:w="6161" w:type="dxa"/>
          </w:tcPr>
          <w:p w14:paraId="247C8115">
            <w:pPr>
              <w:pStyle w:val="13"/>
              <w:spacing w:line="360" w:lineRule="auto"/>
              <w:jc w:val="both"/>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本项目为固定费率采购，用餐师生餐费的29%作为支付费用，此费用包含水、电、燃气、人工费、保险等一切费用。</w:t>
            </w:r>
          </w:p>
        </w:tc>
      </w:tr>
      <w:tr w14:paraId="3C41A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2DDBDEC3">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2.</w:t>
            </w:r>
          </w:p>
        </w:tc>
        <w:tc>
          <w:tcPr>
            <w:tcW w:w="2628" w:type="dxa"/>
          </w:tcPr>
          <w:p w14:paraId="42474F3B">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采购期限</w:t>
            </w:r>
          </w:p>
        </w:tc>
        <w:tc>
          <w:tcPr>
            <w:tcW w:w="6161" w:type="dxa"/>
          </w:tcPr>
          <w:p w14:paraId="64686E50">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三年。</w:t>
            </w:r>
          </w:p>
        </w:tc>
      </w:tr>
      <w:tr w14:paraId="326193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25E71F56">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3.</w:t>
            </w:r>
          </w:p>
        </w:tc>
        <w:tc>
          <w:tcPr>
            <w:tcW w:w="2628" w:type="dxa"/>
          </w:tcPr>
          <w:p w14:paraId="5CFBF2E3">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是否接受联合体</w:t>
            </w:r>
          </w:p>
        </w:tc>
        <w:tc>
          <w:tcPr>
            <w:tcW w:w="6161" w:type="dxa"/>
          </w:tcPr>
          <w:p w14:paraId="5303D511">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不接受联合体。</w:t>
            </w:r>
          </w:p>
        </w:tc>
      </w:tr>
      <w:tr w14:paraId="5DDFBF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1FA0453F">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4</w:t>
            </w:r>
          </w:p>
        </w:tc>
        <w:tc>
          <w:tcPr>
            <w:tcW w:w="2628" w:type="dxa"/>
          </w:tcPr>
          <w:p w14:paraId="2C39FCD7">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投标保证金</w:t>
            </w:r>
          </w:p>
        </w:tc>
        <w:tc>
          <w:tcPr>
            <w:tcW w:w="6161" w:type="dxa"/>
          </w:tcPr>
          <w:p w14:paraId="3D93CB19">
            <w:pPr>
              <w:spacing w:line="360" w:lineRule="auto"/>
              <w:jc w:val="left"/>
              <w:rPr>
                <w:rFonts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1、投标保证金金额：</w:t>
            </w:r>
            <w:r>
              <w:rPr>
                <w:rFonts w:hint="eastAsia" w:ascii="仿宋_GB2312" w:hAnsi="仿宋_GB2312" w:eastAsia="仿宋_GB2312" w:cs="仿宋_GB2312"/>
                <w:color w:val="000000" w:themeColor="text1"/>
                <w:szCs w:val="21"/>
              </w:rPr>
              <w:t>50000</w:t>
            </w:r>
            <w:r>
              <w:rPr>
                <w:rFonts w:hint="eastAsia" w:ascii="仿宋_GB2312" w:hAnsi="仿宋_GB2312" w:eastAsia="仿宋_GB2312" w:cs="仿宋_GB2312"/>
                <w:color w:val="000000" w:themeColor="text1"/>
                <w:kern w:val="0"/>
                <w:szCs w:val="21"/>
              </w:rPr>
              <w:t>元</w:t>
            </w:r>
          </w:p>
          <w:p w14:paraId="38F8AB8B">
            <w:pPr>
              <w:spacing w:line="360" w:lineRule="auto"/>
              <w:jc w:val="left"/>
              <w:rPr>
                <w:rFonts w:ascii="仿宋_GB2312" w:hAnsi="仿宋_GB2312" w:eastAsia="仿宋_GB2312" w:cs="仿宋_GB2312"/>
                <w:color w:val="000000" w:themeColor="text1"/>
                <w:szCs w:val="21"/>
                <w:u w:val="single"/>
              </w:rPr>
            </w:pPr>
            <w:r>
              <w:rPr>
                <w:rFonts w:hint="eastAsia" w:ascii="仿宋_GB2312" w:hAnsi="仿宋_GB2312" w:eastAsia="仿宋_GB2312" w:cs="仿宋_GB2312"/>
                <w:color w:val="000000" w:themeColor="text1"/>
                <w:szCs w:val="21"/>
              </w:rPr>
              <w:t>2、投标保证金到账时间：</w:t>
            </w:r>
            <w:r>
              <w:rPr>
                <w:rFonts w:hint="eastAsia" w:ascii="仿宋_GB2312" w:hAnsi="仿宋_GB2312" w:eastAsia="仿宋_GB2312" w:cs="仿宋_GB2312"/>
                <w:color w:val="000000" w:themeColor="text1"/>
                <w:szCs w:val="21"/>
                <w:u w:val="single"/>
              </w:rPr>
              <w:t xml:space="preserve">递交投标文件截止时间前 </w:t>
            </w:r>
          </w:p>
          <w:p w14:paraId="65C44952">
            <w:pPr>
              <w:spacing w:line="360" w:lineRule="auto"/>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3、投标保证金缴纳方式：  保函或电汇</w:t>
            </w:r>
          </w:p>
          <w:p w14:paraId="49117639">
            <w:pPr>
              <w:spacing w:line="360" w:lineRule="auto"/>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 xml:space="preserve">   保证金收款人银行信息：</w:t>
            </w:r>
          </w:p>
          <w:p w14:paraId="20BB9625">
            <w:pPr>
              <w:spacing w:line="360" w:lineRule="auto"/>
              <w:rPr>
                <w:rFonts w:ascii="仿宋_GB2312" w:hAnsi="仿宋_GB2312" w:eastAsia="仿宋_GB2312" w:cs="仿宋_GB2312"/>
                <w:color w:val="000000" w:themeColor="text1"/>
                <w:szCs w:val="21"/>
                <w:u w:val="single"/>
              </w:rPr>
            </w:pPr>
            <w:r>
              <w:rPr>
                <w:rFonts w:hint="eastAsia" w:ascii="仿宋_GB2312" w:hAnsi="仿宋_GB2312" w:eastAsia="仿宋_GB2312" w:cs="仿宋_GB2312"/>
                <w:color w:val="000000" w:themeColor="text1"/>
                <w:szCs w:val="21"/>
              </w:rPr>
              <w:t xml:space="preserve">    开 户 名：</w:t>
            </w:r>
            <w:r>
              <w:rPr>
                <w:rFonts w:hint="eastAsia" w:ascii="仿宋_GB2312" w:hAnsi="仿宋_GB2312" w:eastAsia="仿宋_GB2312" w:cs="仿宋_GB2312"/>
                <w:color w:val="000000" w:themeColor="text1"/>
                <w:szCs w:val="21"/>
                <w:u w:val="single"/>
              </w:rPr>
              <w:t>本溪市公共资源交易中心（本溪市政府采购中心）</w:t>
            </w:r>
          </w:p>
          <w:p w14:paraId="5833F237">
            <w:pPr>
              <w:spacing w:line="360" w:lineRule="auto"/>
              <w:rPr>
                <w:rFonts w:ascii="仿宋_GB2312" w:hAnsi="仿宋_GB2312" w:eastAsia="仿宋_GB2312" w:cs="仿宋_GB2312"/>
                <w:color w:val="000000" w:themeColor="text1"/>
                <w:szCs w:val="21"/>
                <w:u w:val="single"/>
              </w:rPr>
            </w:pPr>
            <w:r>
              <w:rPr>
                <w:rFonts w:hint="eastAsia" w:ascii="仿宋_GB2312" w:hAnsi="仿宋_GB2312" w:eastAsia="仿宋_GB2312" w:cs="仿宋_GB2312"/>
                <w:color w:val="000000" w:themeColor="text1"/>
                <w:szCs w:val="21"/>
              </w:rPr>
              <w:t xml:space="preserve">    开 户 行：</w:t>
            </w:r>
            <w:r>
              <w:rPr>
                <w:rFonts w:hint="eastAsia" w:ascii="仿宋_GB2312" w:hAnsi="仿宋_GB2312" w:eastAsia="仿宋_GB2312" w:cs="仿宋_GB2312"/>
                <w:color w:val="000000" w:themeColor="text1"/>
                <w:szCs w:val="21"/>
                <w:u w:val="single"/>
              </w:rPr>
              <w:t>本溪银行股份有限公司鸿雁支行</w:t>
            </w:r>
          </w:p>
          <w:p w14:paraId="3A462222">
            <w:pPr>
              <w:spacing w:line="360" w:lineRule="auto"/>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 xml:space="preserve">    账    号：</w:t>
            </w:r>
            <w:r>
              <w:rPr>
                <w:rFonts w:hint="eastAsia" w:ascii="仿宋_GB2312" w:hAnsi="仿宋_GB2312" w:eastAsia="仿宋_GB2312" w:cs="仿宋_GB2312"/>
                <w:color w:val="000000" w:themeColor="text1"/>
                <w:szCs w:val="21"/>
                <w:u w:val="single"/>
              </w:rPr>
              <w:t>500105759501880004</w:t>
            </w:r>
          </w:p>
          <w:p w14:paraId="162940CF">
            <w:pPr>
              <w:spacing w:line="360" w:lineRule="auto"/>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4、保证金退还方式：自中选通知书发出之日起5个工作日内退还未中选人的投标保证金至投标人原交纳账户，自采购合同签订之日起5个工作日内退还中选人的投标保证金至投标人原交纳账户</w:t>
            </w:r>
          </w:p>
          <w:p w14:paraId="071D13C7">
            <w:pPr>
              <w:spacing w:line="360" w:lineRule="auto"/>
              <w:rPr>
                <w:rFonts w:ascii="仿宋_GB2312" w:hAnsi="仿宋_GB2312" w:eastAsia="仿宋_GB2312" w:cs="仿宋_GB2312"/>
                <w:color w:val="000000" w:themeColor="text1"/>
                <w:kern w:val="0"/>
                <w:szCs w:val="21"/>
                <w:u w:val="single"/>
              </w:rPr>
            </w:pPr>
            <w:r>
              <w:rPr>
                <w:rFonts w:hint="eastAsia" w:ascii="仿宋_GB2312" w:hAnsi="仿宋_GB2312" w:eastAsia="仿宋_GB2312" w:cs="仿宋_GB2312"/>
                <w:color w:val="000000" w:themeColor="text1"/>
                <w:szCs w:val="21"/>
              </w:rPr>
              <w:t>5、保证金退还咨询电话：</w:t>
            </w:r>
            <w:r>
              <w:rPr>
                <w:rFonts w:hint="eastAsia" w:ascii="仿宋_GB2312" w:hAnsi="仿宋_GB2312" w:eastAsia="仿宋_GB2312" w:cs="仿宋_GB2312"/>
                <w:color w:val="000000" w:themeColor="text1"/>
                <w:kern w:val="0"/>
                <w:szCs w:val="21"/>
                <w:u w:val="single"/>
              </w:rPr>
              <w:t>024-47264280</w:t>
            </w:r>
          </w:p>
          <w:p w14:paraId="5F544590">
            <w:pPr>
              <w:spacing w:line="360" w:lineRule="auto"/>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6、其它：（1）投标人电汇时须注明项目编码及项目名称，分包的注明包号，因未注明或注明信息模糊造成财务人员无法核实的，产生的一切后果由投标人自行承担；</w:t>
            </w:r>
          </w:p>
          <w:p w14:paraId="26174E72">
            <w:pPr>
              <w:spacing w:line="360" w:lineRule="auto"/>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（2）逾期缴纳保证金的视为自动放弃本次采购；</w:t>
            </w:r>
          </w:p>
          <w:p w14:paraId="0AE22589">
            <w:pPr>
              <w:spacing w:line="360" w:lineRule="auto"/>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（3）投标人采用保函形式缴纳投标保证金的，可以在投标截止时间前登录本溪公共资源交易网投标电子保函服务平台一站式办理投标电子保函业务。（</w:t>
            </w:r>
            <w:r>
              <w:fldChar w:fldCharType="begin"/>
            </w:r>
            <w:r>
              <w:instrText xml:space="preserve"> HYPERLINK "https://benxi-jy.gongbao.cn/front/tender_phone_verify.html" </w:instrText>
            </w:r>
            <w:r>
              <w:fldChar w:fldCharType="separate"/>
            </w:r>
            <w:r>
              <w:rPr>
                <w:rStyle w:val="12"/>
                <w:rFonts w:hint="eastAsia" w:ascii="仿宋_GB2312" w:hAnsi="仿宋_GB2312" w:eastAsia="仿宋_GB2312" w:cs="仿宋_GB2312"/>
                <w:color w:val="000000" w:themeColor="text1"/>
                <w:szCs w:val="21"/>
              </w:rPr>
              <w:t>https://benxi-jy.gongbao.cn/front/tender_phone_verify.html</w:t>
            </w:r>
            <w:r>
              <w:rPr>
                <w:rStyle w:val="12"/>
                <w:rFonts w:hint="eastAsia" w:ascii="仿宋_GB2312" w:hAnsi="仿宋_GB2312" w:eastAsia="仿宋_GB2312" w:cs="仿宋_GB2312"/>
                <w:color w:val="000000" w:themeColor="text1"/>
                <w:szCs w:val="21"/>
              </w:rPr>
              <w:fldChar w:fldCharType="end"/>
            </w:r>
            <w:r>
              <w:rPr>
                <w:rFonts w:hint="eastAsia" w:ascii="仿宋_GB2312" w:hAnsi="仿宋_GB2312" w:eastAsia="仿宋_GB2312" w:cs="仿宋_GB2312"/>
                <w:color w:val="000000" w:themeColor="text1"/>
                <w:szCs w:val="21"/>
              </w:rPr>
              <w:t>?</w:t>
            </w:r>
          </w:p>
          <w:p w14:paraId="7E46EBA1">
            <w:pPr>
              <w:spacing w:line="360" w:lineRule="auto"/>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orderNo=&amp;socialCreditCd=&amp;bidNum=）</w:t>
            </w:r>
          </w:p>
        </w:tc>
      </w:tr>
      <w:tr w14:paraId="55715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1" w:hRule="atLeast"/>
        </w:trPr>
        <w:tc>
          <w:tcPr>
            <w:tcW w:w="675" w:type="dxa"/>
          </w:tcPr>
          <w:p w14:paraId="2456402B">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5</w:t>
            </w:r>
          </w:p>
        </w:tc>
        <w:tc>
          <w:tcPr>
            <w:tcW w:w="2628" w:type="dxa"/>
          </w:tcPr>
          <w:p w14:paraId="0849773B">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履约保证金</w:t>
            </w:r>
          </w:p>
        </w:tc>
        <w:tc>
          <w:tcPr>
            <w:tcW w:w="6161" w:type="dxa"/>
          </w:tcPr>
          <w:p w14:paraId="1FDE33AE">
            <w:pPr>
              <w:shd w:val="clear" w:color="auto" w:fill="FFFFFF"/>
              <w:spacing w:line="360" w:lineRule="auto"/>
              <w:ind w:firstLine="210" w:firstLineChars="100"/>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本项目收取履约保证金</w:t>
            </w:r>
          </w:p>
          <w:p w14:paraId="445EF716">
            <w:pPr>
              <w:shd w:val="clear" w:color="auto" w:fill="FFFFFF"/>
              <w:spacing w:line="360" w:lineRule="auto"/>
              <w:ind w:firstLine="210" w:firstLineChars="100"/>
              <w:jc w:val="left"/>
              <w:rPr>
                <w:rFonts w:ascii="仿宋_GB2312" w:hAnsi="仿宋_GB2312" w:eastAsia="仿宋_GB2312" w:cs="仿宋_GB2312"/>
                <w:color w:val="000000" w:themeColor="text1"/>
                <w:kern w:val="0"/>
                <w:szCs w:val="21"/>
                <w:u w:val="single"/>
              </w:rPr>
            </w:pPr>
            <w:r>
              <w:rPr>
                <w:rFonts w:hint="eastAsia" w:ascii="仿宋_GB2312" w:hAnsi="仿宋_GB2312" w:eastAsia="仿宋_GB2312" w:cs="仿宋_GB2312"/>
                <w:color w:val="000000" w:themeColor="text1"/>
                <w:szCs w:val="21"/>
              </w:rPr>
              <w:t>履约保证金金额：</w:t>
            </w:r>
            <w:r>
              <w:rPr>
                <w:rFonts w:hint="eastAsia" w:ascii="仿宋_GB2312" w:hAnsi="仿宋_GB2312" w:eastAsia="仿宋_GB2312" w:cs="仿宋_GB2312"/>
                <w:color w:val="000000" w:themeColor="text1"/>
                <w:kern w:val="0"/>
                <w:szCs w:val="21"/>
                <w:u w:val="single"/>
              </w:rPr>
              <w:t xml:space="preserve">  30万元</w:t>
            </w:r>
          </w:p>
          <w:p w14:paraId="39AD078C">
            <w:pPr>
              <w:shd w:val="clear" w:color="auto" w:fill="FFFFFF"/>
              <w:spacing w:line="360" w:lineRule="auto"/>
              <w:ind w:firstLine="210" w:firstLineChars="100"/>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履约保证金递交时间：</w:t>
            </w:r>
            <w:r>
              <w:rPr>
                <w:rFonts w:hint="eastAsia" w:ascii="仿宋_GB2312" w:hAnsi="仿宋_GB2312" w:eastAsia="仿宋_GB2312" w:cs="仿宋_GB2312"/>
                <w:color w:val="000000" w:themeColor="text1"/>
                <w:kern w:val="0"/>
                <w:szCs w:val="21"/>
                <w:u w:val="single"/>
              </w:rPr>
              <w:t xml:space="preserve">  与学校签订合同后7日内        </w:t>
            </w:r>
            <w:r>
              <w:rPr>
                <w:rFonts w:hint="eastAsia" w:ascii="仿宋_GB2312" w:hAnsi="仿宋_GB2312" w:eastAsia="仿宋_GB2312" w:cs="仿宋_GB2312"/>
                <w:color w:val="000000" w:themeColor="text1"/>
                <w:szCs w:val="21"/>
              </w:rPr>
              <w:t xml:space="preserve"> </w:t>
            </w:r>
          </w:p>
          <w:p w14:paraId="6FCA5AC3">
            <w:pPr>
              <w:shd w:val="clear" w:color="auto" w:fill="FFFFFF"/>
              <w:spacing w:line="360" w:lineRule="auto"/>
              <w:ind w:firstLine="210" w:firstLineChars="100"/>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履约保证金递交方式：电汇</w:t>
            </w:r>
          </w:p>
          <w:p w14:paraId="143D2709">
            <w:pPr>
              <w:shd w:val="clear" w:color="auto" w:fill="FFFFFF"/>
              <w:spacing w:line="360" w:lineRule="auto"/>
              <w:ind w:firstLine="210" w:firstLineChars="100"/>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履约保证金由市教育局指定账户监管，合同期满无违约全额退还；</w:t>
            </w:r>
          </w:p>
        </w:tc>
      </w:tr>
      <w:tr w14:paraId="37347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360F3BAD">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6</w:t>
            </w:r>
          </w:p>
        </w:tc>
        <w:tc>
          <w:tcPr>
            <w:tcW w:w="2628" w:type="dxa"/>
          </w:tcPr>
          <w:p w14:paraId="0913A839">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采购代理服务费</w:t>
            </w:r>
          </w:p>
        </w:tc>
        <w:tc>
          <w:tcPr>
            <w:tcW w:w="6161" w:type="dxa"/>
          </w:tcPr>
          <w:p w14:paraId="18D0C196">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本项目不收取代理服务费。</w:t>
            </w:r>
          </w:p>
        </w:tc>
      </w:tr>
      <w:tr w14:paraId="62719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4F52C9BB">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7</w:t>
            </w:r>
          </w:p>
        </w:tc>
        <w:tc>
          <w:tcPr>
            <w:tcW w:w="2628" w:type="dxa"/>
          </w:tcPr>
          <w:p w14:paraId="25AB1BF1">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交易服务费</w:t>
            </w:r>
          </w:p>
        </w:tc>
        <w:tc>
          <w:tcPr>
            <w:tcW w:w="6161" w:type="dxa"/>
          </w:tcPr>
          <w:p w14:paraId="4C20E916">
            <w:pPr>
              <w:widowControl/>
              <w:rPr>
                <w:rFonts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本项目交易服务费由</w:t>
            </w:r>
            <w:r>
              <w:rPr>
                <w:rFonts w:hint="eastAsia" w:ascii="仿宋_GB2312" w:hAnsi="仿宋_GB2312" w:eastAsia="仿宋_GB2312" w:cs="仿宋_GB2312"/>
                <w:color w:val="000000" w:themeColor="text1"/>
                <w:kern w:val="0"/>
                <w:szCs w:val="21"/>
                <w:u w:val="single"/>
              </w:rPr>
              <w:t xml:space="preserve">    中选供应商     </w:t>
            </w:r>
            <w:r>
              <w:rPr>
                <w:rFonts w:hint="eastAsia" w:ascii="仿宋_GB2312" w:hAnsi="仿宋_GB2312" w:eastAsia="仿宋_GB2312" w:cs="仿宋_GB2312"/>
                <w:color w:val="000000" w:themeColor="text1"/>
                <w:kern w:val="0"/>
                <w:szCs w:val="21"/>
              </w:rPr>
              <w:t>向本溪市建筑工程交易综合服务中心予以支付。</w:t>
            </w:r>
          </w:p>
          <w:p w14:paraId="5F61DD8E">
            <w:pPr>
              <w:widowControl/>
              <w:ind w:firstLine="210" w:firstLineChars="100"/>
              <w:rPr>
                <w:rFonts w:ascii="仿宋_GB2312" w:hAnsi="仿宋_GB2312" w:eastAsia="仿宋_GB2312" w:cs="仿宋_GB2312"/>
                <w:color w:val="000000" w:themeColor="text1"/>
                <w:kern w:val="0"/>
                <w:szCs w:val="21"/>
              </w:rPr>
            </w:pPr>
            <w:r>
              <w:rPr>
                <w:rFonts w:hint="eastAsia" w:ascii="仿宋_GB2312" w:hAnsi="仿宋_GB2312" w:eastAsia="仿宋_GB2312" w:cs="仿宋_GB2312"/>
                <w:color w:val="000000" w:themeColor="text1"/>
                <w:kern w:val="0"/>
                <w:szCs w:val="21"/>
              </w:rPr>
              <w:t>支付标准：</w:t>
            </w:r>
            <w:r>
              <w:rPr>
                <w:rFonts w:hint="eastAsia" w:ascii="仿宋_GB2312" w:hAnsi="仿宋_GB2312" w:eastAsia="仿宋_GB2312" w:cs="仿宋_GB2312"/>
                <w:color w:val="000000" w:themeColor="text1"/>
                <w:kern w:val="0"/>
                <w:szCs w:val="21"/>
                <w:u w:val="single"/>
              </w:rPr>
              <w:t xml:space="preserve">  1000元            </w:t>
            </w:r>
          </w:p>
          <w:p w14:paraId="03E6B21B">
            <w:pPr>
              <w:widowControl/>
              <w:ind w:firstLine="210" w:firstLineChars="100"/>
              <w:rPr>
                <w:rFonts w:ascii="仿宋_GB2312" w:hAnsi="仿宋_GB2312" w:eastAsia="仿宋_GB2312" w:cs="仿宋_GB2312"/>
                <w:color w:val="000000" w:themeColor="text1"/>
                <w:kern w:val="0"/>
                <w:szCs w:val="21"/>
                <w:u w:val="single"/>
              </w:rPr>
            </w:pPr>
            <w:r>
              <w:rPr>
                <w:rFonts w:hint="eastAsia" w:ascii="仿宋_GB2312" w:hAnsi="仿宋_GB2312" w:eastAsia="仿宋_GB2312" w:cs="仿宋_GB2312"/>
                <w:color w:val="000000" w:themeColor="text1"/>
                <w:kern w:val="0"/>
                <w:szCs w:val="21"/>
              </w:rPr>
              <w:t>支付形式：</w:t>
            </w:r>
            <w:r>
              <w:rPr>
                <w:rFonts w:hint="eastAsia" w:ascii="仿宋_GB2312" w:hAnsi="仿宋_GB2312" w:eastAsia="仿宋_GB2312" w:cs="仿宋_GB2312"/>
                <w:color w:val="000000" w:themeColor="text1"/>
                <w:kern w:val="0"/>
                <w:szCs w:val="21"/>
                <w:u w:val="single"/>
              </w:rPr>
              <w:t xml:space="preserve">    电汇或现金          </w:t>
            </w:r>
          </w:p>
        </w:tc>
      </w:tr>
      <w:tr w14:paraId="762E9B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7EC207BC">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8</w:t>
            </w:r>
          </w:p>
        </w:tc>
        <w:tc>
          <w:tcPr>
            <w:tcW w:w="2628" w:type="dxa"/>
          </w:tcPr>
          <w:p w14:paraId="48129C9C">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采购结果公告</w:t>
            </w:r>
          </w:p>
        </w:tc>
        <w:tc>
          <w:tcPr>
            <w:tcW w:w="6161" w:type="dxa"/>
          </w:tcPr>
          <w:p w14:paraId="18826C59">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结果将在本溪市公共资源交易平台予以公告。</w:t>
            </w:r>
          </w:p>
        </w:tc>
      </w:tr>
      <w:tr w14:paraId="583D9C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52E68E13">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9</w:t>
            </w:r>
          </w:p>
        </w:tc>
        <w:tc>
          <w:tcPr>
            <w:tcW w:w="2628" w:type="dxa"/>
          </w:tcPr>
          <w:p w14:paraId="34C1FDB0">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中选通知书</w:t>
            </w:r>
          </w:p>
        </w:tc>
        <w:tc>
          <w:tcPr>
            <w:tcW w:w="6161" w:type="dxa"/>
          </w:tcPr>
          <w:p w14:paraId="33E62F29">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结果公告后，中选供应商到代理机构获取中选通知书。</w:t>
            </w:r>
          </w:p>
        </w:tc>
      </w:tr>
      <w:tr w14:paraId="09E0F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7E3658C6">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10</w:t>
            </w:r>
          </w:p>
        </w:tc>
        <w:tc>
          <w:tcPr>
            <w:tcW w:w="2628" w:type="dxa"/>
            <w:vAlign w:val="center"/>
          </w:tcPr>
          <w:p w14:paraId="429968FC">
            <w:pPr>
              <w:widowControl/>
              <w:spacing w:line="360" w:lineRule="auto"/>
              <w:jc w:val="center"/>
              <w:rPr>
                <w:rFonts w:ascii="仿宋_GB2312" w:hAnsi="仿宋" w:eastAsia="仿宋_GB2312" w:cs="Times New Roman"/>
                <w:color w:val="000000" w:themeColor="text1"/>
                <w:kern w:val="0"/>
                <w:szCs w:val="21"/>
              </w:rPr>
            </w:pPr>
            <w:r>
              <w:rPr>
                <w:rFonts w:hint="eastAsia" w:ascii="仿宋_GB2312" w:hAnsi="仿宋" w:eastAsia="仿宋_GB2312" w:cs="Times New Roman"/>
                <w:color w:val="000000" w:themeColor="text1"/>
                <w:kern w:val="0"/>
                <w:szCs w:val="21"/>
              </w:rPr>
              <w:t>投标文件及电子文档份数</w:t>
            </w:r>
          </w:p>
        </w:tc>
        <w:tc>
          <w:tcPr>
            <w:tcW w:w="6161" w:type="dxa"/>
            <w:vAlign w:val="center"/>
          </w:tcPr>
          <w:p w14:paraId="50100BA2">
            <w:pPr>
              <w:widowControl/>
              <w:spacing w:line="360" w:lineRule="auto"/>
              <w:jc w:val="left"/>
              <w:rPr>
                <w:rFonts w:ascii="仿宋_GB2312" w:hAnsi="仿宋" w:eastAsia="仿宋_GB2312" w:cs="Times New Roman"/>
                <w:color w:val="000000" w:themeColor="text1"/>
                <w:kern w:val="0"/>
                <w:szCs w:val="21"/>
              </w:rPr>
            </w:pPr>
            <w:r>
              <w:rPr>
                <w:rFonts w:hint="eastAsia" w:ascii="仿宋_GB2312" w:hAnsi="仿宋" w:eastAsia="仿宋_GB2312" w:cs="Times New Roman"/>
                <w:color w:val="000000" w:themeColor="text1"/>
                <w:kern w:val="0"/>
                <w:szCs w:val="21"/>
              </w:rPr>
              <w:t>正本1份,副本</w:t>
            </w:r>
            <w:r>
              <w:rPr>
                <w:rFonts w:ascii="仿宋_GB2312" w:hAnsi="仿宋" w:eastAsia="仿宋_GB2312"/>
                <w:color w:val="000000" w:themeColor="text1"/>
                <w:kern w:val="0"/>
                <w:szCs w:val="21"/>
              </w:rPr>
              <w:t>6</w:t>
            </w:r>
            <w:r>
              <w:rPr>
                <w:rFonts w:hint="eastAsia" w:ascii="仿宋_GB2312" w:hAnsi="仿宋" w:eastAsia="仿宋_GB2312" w:cs="Times New Roman"/>
                <w:color w:val="000000" w:themeColor="text1"/>
                <w:kern w:val="0"/>
                <w:szCs w:val="21"/>
              </w:rPr>
              <w:t>份，电子文档1份（U盘或光盘）密封在一个封套内。</w:t>
            </w:r>
          </w:p>
        </w:tc>
      </w:tr>
      <w:tr w14:paraId="077471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1B9CFA8C">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11</w:t>
            </w:r>
          </w:p>
        </w:tc>
        <w:tc>
          <w:tcPr>
            <w:tcW w:w="2628" w:type="dxa"/>
            <w:vAlign w:val="center"/>
          </w:tcPr>
          <w:p w14:paraId="40D36008">
            <w:pPr>
              <w:widowControl/>
              <w:spacing w:line="360" w:lineRule="auto"/>
              <w:jc w:val="left"/>
              <w:rPr>
                <w:rFonts w:ascii="仿宋_GB2312" w:hAnsi="仿宋" w:eastAsia="仿宋_GB2312" w:cs="Times New Roman"/>
                <w:color w:val="000000" w:themeColor="text1"/>
                <w:kern w:val="0"/>
                <w:szCs w:val="21"/>
              </w:rPr>
            </w:pPr>
            <w:r>
              <w:rPr>
                <w:rFonts w:hint="eastAsia" w:ascii="仿宋_GB2312" w:hAnsi="仿宋" w:eastAsia="仿宋_GB2312" w:cs="Times New Roman"/>
                <w:color w:val="000000" w:themeColor="text1"/>
                <w:kern w:val="0"/>
                <w:szCs w:val="21"/>
              </w:rPr>
              <w:t>评审委员会组成</w:t>
            </w:r>
          </w:p>
        </w:tc>
        <w:tc>
          <w:tcPr>
            <w:tcW w:w="6161" w:type="dxa"/>
            <w:vAlign w:val="center"/>
          </w:tcPr>
          <w:p w14:paraId="2969B270">
            <w:pPr>
              <w:widowControl/>
              <w:spacing w:line="360" w:lineRule="auto"/>
              <w:rPr>
                <w:rFonts w:ascii="仿宋_GB2312" w:hAnsi="仿宋" w:eastAsia="仿宋_GB2312"/>
                <w:color w:val="000000" w:themeColor="text1"/>
                <w:kern w:val="0"/>
                <w:szCs w:val="21"/>
              </w:rPr>
            </w:pPr>
            <w:r>
              <w:rPr>
                <w:rFonts w:hint="eastAsia" w:ascii="仿宋_GB2312" w:hAnsi="仿宋_GB2312" w:eastAsia="仿宋_GB2312" w:cs="仿宋_GB2312"/>
                <w:color w:val="000000" w:themeColor="text1"/>
                <w:szCs w:val="21"/>
              </w:rPr>
              <w:t>评审委员会由评审专家</w:t>
            </w:r>
            <w:r>
              <w:rPr>
                <w:rFonts w:ascii="仿宋_GB2312" w:hAnsi="仿宋_GB2312" w:eastAsia="仿宋_GB2312" w:cs="仿宋_GB2312"/>
                <w:color w:val="000000" w:themeColor="text1"/>
                <w:szCs w:val="21"/>
                <w:u w:val="single"/>
              </w:rPr>
              <w:t>7</w:t>
            </w:r>
            <w:r>
              <w:rPr>
                <w:rFonts w:hint="eastAsia" w:ascii="仿宋_GB2312" w:hAnsi="仿宋_GB2312" w:eastAsia="仿宋_GB2312" w:cs="仿宋_GB2312"/>
                <w:color w:val="000000" w:themeColor="text1"/>
                <w:szCs w:val="21"/>
              </w:rPr>
              <w:t>人组成，共</w:t>
            </w:r>
            <w:r>
              <w:rPr>
                <w:rFonts w:ascii="仿宋_GB2312" w:hAnsi="仿宋_GB2312" w:eastAsia="仿宋_GB2312" w:cs="仿宋_GB2312"/>
                <w:color w:val="000000" w:themeColor="text1"/>
                <w:szCs w:val="21"/>
                <w:u w:val="single"/>
              </w:rPr>
              <w:t>7</w:t>
            </w:r>
            <w:r>
              <w:rPr>
                <w:rFonts w:hint="eastAsia" w:ascii="仿宋_GB2312" w:hAnsi="仿宋_GB2312" w:eastAsia="仿宋_GB2312" w:cs="仿宋_GB2312"/>
                <w:color w:val="000000" w:themeColor="text1"/>
                <w:szCs w:val="21"/>
              </w:rPr>
              <w:t>人。</w:t>
            </w:r>
          </w:p>
        </w:tc>
      </w:tr>
    </w:tbl>
    <w:p w14:paraId="18DE8F9B">
      <w:pPr>
        <w:pStyle w:val="13"/>
        <w:spacing w:line="360" w:lineRule="auto"/>
        <w:outlineLvl w:val="2"/>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2.2 总则</w:t>
      </w:r>
    </w:p>
    <w:p w14:paraId="11662918">
      <w:pPr>
        <w:pStyle w:val="13"/>
        <w:spacing w:line="360" w:lineRule="auto"/>
        <w:outlineLvl w:val="3"/>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2.2.1 适用范围</w:t>
      </w:r>
    </w:p>
    <w:p w14:paraId="0EE79EE8">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一、本采购文件仅适用于本次采购项目。</w:t>
      </w:r>
    </w:p>
    <w:p w14:paraId="707ACB3A">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二、本采购文件的最终解释权归采购人所有。采购文件内容由采购人负责解释。</w:t>
      </w:r>
    </w:p>
    <w:p w14:paraId="647DB39B">
      <w:pPr>
        <w:pStyle w:val="13"/>
        <w:spacing w:line="360" w:lineRule="auto"/>
        <w:outlineLvl w:val="3"/>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2.2.2 有关定义</w:t>
      </w:r>
    </w:p>
    <w:p w14:paraId="3EFD96CF">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一、本次采购项目的采购人是本溪市教育局。</w:t>
      </w:r>
    </w:p>
    <w:p w14:paraId="0FF75BFD">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二、“供应商”是指按照采购公告规定获取了采购文件，拟参加采购或签订采购的法人、其他组织或者自然人。</w:t>
      </w:r>
    </w:p>
    <w:p w14:paraId="14DA1A38">
      <w:pPr>
        <w:pStyle w:val="13"/>
        <w:spacing w:line="360" w:lineRule="auto"/>
        <w:outlineLvl w:val="2"/>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2.3 采购文件</w:t>
      </w:r>
    </w:p>
    <w:p w14:paraId="010C7A1E">
      <w:pPr>
        <w:pStyle w:val="13"/>
        <w:spacing w:line="360" w:lineRule="auto"/>
        <w:outlineLvl w:val="3"/>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2.3.1 采购文件的构成</w:t>
      </w:r>
    </w:p>
    <w:p w14:paraId="7AE5E5F3">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一、采购文件是供应商准备响应文件和参加采购响应的依据，同时也是资格审查、评审的重要依据。采购文件用以阐明采购项目所需的资质、技术、服务、商务及报价等要求、采购和响应程序、有关规定和注意事项、采购主要条款以及合同主要条款等。本采购文件包括以下内容：</w:t>
      </w:r>
    </w:p>
    <w:p w14:paraId="6D4310AD">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(一)采购邀请；</w:t>
      </w:r>
    </w:p>
    <w:p w14:paraId="4806E623">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(二)供应商须知；</w:t>
      </w:r>
    </w:p>
    <w:p w14:paraId="45948F6A">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(三)采购项目技术、服务、商务及其他要求；</w:t>
      </w:r>
    </w:p>
    <w:p w14:paraId="0C54E188">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(四)资格审查；</w:t>
      </w:r>
    </w:p>
    <w:p w14:paraId="7AAC8BDA">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(五)评审办法；</w:t>
      </w:r>
    </w:p>
    <w:p w14:paraId="79EE721C">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(六)采购文本；</w:t>
      </w:r>
    </w:p>
    <w:p w14:paraId="0061E4E7">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(七)响应文件格式。</w:t>
      </w:r>
    </w:p>
    <w:p w14:paraId="553F87DC">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二、供应商应认真阅读和充分理解采购文件中所有的事项、格式条款和规范要求。供应商没有对采购文件全面做出实质性响应所产生的风险由供应商承担。</w:t>
      </w:r>
    </w:p>
    <w:p w14:paraId="1F2841DA">
      <w:pPr>
        <w:pStyle w:val="13"/>
        <w:spacing w:line="360" w:lineRule="auto"/>
        <w:outlineLvl w:val="3"/>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2.3.2 采购文件的澄清和修改</w:t>
      </w:r>
    </w:p>
    <w:p w14:paraId="315BE2D0">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一、采购人可以对已发出的采购文件进行必要的澄清或者修改。澄清或者修改的内容可能影响响应文件编制的应在响应文件提交截止时间10日前通知所有获取采购文件的潜在供应商，不足10日的，应顺延递交响应文件的截止时间。</w:t>
      </w:r>
    </w:p>
    <w:p w14:paraId="5C6910D1">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二、澄清或者修改的内容为采购文件的组成部分，采购人将在本溪市公共资源交易平台发布更正公告，供应商应及时关注本项目更正公告信息，按更正后公告要求进行采购响应。更正内容可能影响响应文件编制的，采购人将通过电子邮箱发布更正后的采购文件，供应商应依据更正后的采购文件编制响应文件。若供应商未按前述要求进行采购响应的，自行承担不利后果。</w:t>
      </w:r>
    </w:p>
    <w:p w14:paraId="3B435974">
      <w:pPr>
        <w:pStyle w:val="13"/>
        <w:spacing w:line="360" w:lineRule="auto"/>
        <w:outlineLvl w:val="2"/>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2.4 响应文件</w:t>
      </w:r>
    </w:p>
    <w:p w14:paraId="5B0F8869">
      <w:pPr>
        <w:pStyle w:val="13"/>
        <w:spacing w:line="360" w:lineRule="auto"/>
        <w:outlineLvl w:val="3"/>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2.4.1 响应文件的语言</w:t>
      </w:r>
    </w:p>
    <w:p w14:paraId="47FF7EE0">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一、供应商提交的响应文件以及供应商与采购人就有关响应的所有来往书面文件均须使用中文。响应文件中如附有外文资料，主要部分要对应翻译成中文并附在相关外文资料后面。未翻译的外文资料，评审委员会可将其视为无效材料。</w:t>
      </w:r>
    </w:p>
    <w:p w14:paraId="34A75A81">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二、翻译的中文资料与外文资料如果出现差异和矛盾时，以中文为准。涉嫌提供虚假材料的按照相关法律法规处理。</w:t>
      </w:r>
    </w:p>
    <w:p w14:paraId="0255BD9F">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三、如因未翻译而造成对供应商的不利后果，由供应商承担。</w:t>
      </w:r>
    </w:p>
    <w:p w14:paraId="2F5EBA4F">
      <w:pPr>
        <w:pStyle w:val="13"/>
        <w:spacing w:line="360" w:lineRule="auto"/>
        <w:outlineLvl w:val="3"/>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2.4.2 计量单位（实质性要求）</w:t>
      </w:r>
    </w:p>
    <w:p w14:paraId="0206976B">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除采购文件中另有规定外，本项目均采用国家法定的计量单位。</w:t>
      </w:r>
    </w:p>
    <w:p w14:paraId="2DD5FC98">
      <w:pPr>
        <w:pStyle w:val="13"/>
        <w:spacing w:line="360" w:lineRule="auto"/>
        <w:outlineLvl w:val="3"/>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2.4.3 响应货币（实质性要求）</w:t>
      </w:r>
    </w:p>
    <w:p w14:paraId="0CC61447">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本项目均以%报价。</w:t>
      </w:r>
    </w:p>
    <w:p w14:paraId="0BE20379">
      <w:pPr>
        <w:pStyle w:val="13"/>
        <w:spacing w:line="360" w:lineRule="auto"/>
        <w:outlineLvl w:val="3"/>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2.4.4 知识产权（实质性要求）</w:t>
      </w:r>
    </w:p>
    <w:p w14:paraId="3A0CF4C0">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无</w:t>
      </w:r>
    </w:p>
    <w:p w14:paraId="1B3D2805">
      <w:pPr>
        <w:pStyle w:val="13"/>
        <w:spacing w:line="360" w:lineRule="auto"/>
        <w:outlineLvl w:val="3"/>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2.4.5 响应文件的组成</w:t>
      </w:r>
    </w:p>
    <w:p w14:paraId="7A5635E1">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供应商应按照采购文件的规定和要求编制响应文件。</w:t>
      </w:r>
    </w:p>
    <w:p w14:paraId="17214812">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响应文件包括响应函、资格响应文件、商务技术响应文件和报价要求响应文件，具体内容详见第六章。</w:t>
      </w:r>
    </w:p>
    <w:p w14:paraId="1B92C0D8">
      <w:pPr>
        <w:pStyle w:val="13"/>
        <w:spacing w:line="360" w:lineRule="auto"/>
        <w:outlineLvl w:val="3"/>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2.4.6 响应文件格式</w:t>
      </w:r>
    </w:p>
    <w:p w14:paraId="29962EB2">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一、供应商应按照采购文件第六章中提供的“响应文件格式”填写相关内容。</w:t>
      </w:r>
    </w:p>
    <w:p w14:paraId="53FE0D25">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二、对于没有格式要求的响应文件由供应商自行编写。</w:t>
      </w:r>
    </w:p>
    <w:p w14:paraId="4B5943DD">
      <w:pPr>
        <w:pStyle w:val="13"/>
        <w:spacing w:line="360" w:lineRule="auto"/>
        <w:outlineLvl w:val="3"/>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2.4.7 响应报价（实质性要求）</w:t>
      </w:r>
    </w:p>
    <w:p w14:paraId="23099C0B">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一、供应商根据采购文件进行响应报价，响应报价为固定价格报价。项目报价按照台（套）等计量单位确定，包含售后服务等相关服务费用。</w:t>
      </w:r>
    </w:p>
    <w:p w14:paraId="57FC9A51">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二、供应商采购报价只允许有一个报价，并且将作为采购人或者服务对象确定成交供应商的固定价格。</w:t>
      </w:r>
    </w:p>
    <w:p w14:paraId="48853661">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三、响应文件报价出现前后不一致的，按照采购文件第五章评审办法规定予以修正，修正后的报价经供应商通过现场进行确认，并加盖供应商（法定名称）公章，供应商未在规定时间内确认的，其响应无效。</w:t>
      </w:r>
    </w:p>
    <w:p w14:paraId="4A3AE653">
      <w:pPr>
        <w:pStyle w:val="13"/>
        <w:spacing w:line="360" w:lineRule="auto"/>
        <w:outlineLvl w:val="3"/>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2.4.8 响应有效期（实质性要求）</w:t>
      </w:r>
    </w:p>
    <w:p w14:paraId="197446D4">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响应有效期为提交响应文件截止之日起不少于90天。响应文件未明确响应有效期或者响应有效期小于90天的，其响应文件按无效处理。</w:t>
      </w:r>
    </w:p>
    <w:p w14:paraId="28242AAB">
      <w:pPr>
        <w:pStyle w:val="13"/>
        <w:spacing w:line="360" w:lineRule="auto"/>
        <w:outlineLvl w:val="3"/>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2.4.9 响应文件的制作、签章（实质性要求）</w:t>
      </w:r>
    </w:p>
    <w:p w14:paraId="3880FE01">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一、响应文件应当根据采购文件进行编制。</w:t>
      </w:r>
    </w:p>
    <w:p w14:paraId="04E22B34">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二、供应商应按照采购文件要求，对应采购文件的每项实质性要求，逐一进行响应；</w:t>
      </w:r>
      <w:r>
        <w:rPr>
          <w:rFonts w:ascii="仿宋_GB2312" w:hAnsi="仿宋" w:eastAsia="仿宋_GB2312"/>
          <w:b/>
          <w:color w:val="000000" w:themeColor="text1"/>
          <w:sz w:val="21"/>
          <w:szCs w:val="21"/>
        </w:rPr>
        <w:t>未逐一进行响应或者响应内容不符合采购文件对应项的要求的，其响应文件作无效处理。</w:t>
      </w:r>
    </w:p>
    <w:p w14:paraId="5D9FE9A5">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三、供应商完成响应文件编制后，应按照采购文件第一章明确的签章要求。</w:t>
      </w:r>
    </w:p>
    <w:p w14:paraId="68AD736A">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四、发生采购文件澄清或者修改，可能影响响应文件编制的，供应商应重新获取澄清或者修改后的采购文件，按照澄清或者修改后的采购文件进行响应文件编制、签章。</w:t>
      </w:r>
    </w:p>
    <w:p w14:paraId="2B7B23E5">
      <w:pPr>
        <w:pStyle w:val="13"/>
        <w:spacing w:line="360" w:lineRule="auto"/>
        <w:outlineLvl w:val="3"/>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2.4.10 响应文件的提交</w:t>
      </w:r>
    </w:p>
    <w:p w14:paraId="42D647C7">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一、</w:t>
      </w:r>
      <w:r>
        <w:rPr>
          <w:rFonts w:ascii="仿宋_GB2312" w:hAnsi="仿宋" w:eastAsia="仿宋_GB2312"/>
          <w:b/>
          <w:color w:val="000000" w:themeColor="text1"/>
          <w:sz w:val="21"/>
          <w:szCs w:val="21"/>
        </w:rPr>
        <w:t>（实质性要求）</w:t>
      </w:r>
      <w:r>
        <w:rPr>
          <w:rFonts w:ascii="仿宋_GB2312" w:hAnsi="仿宋" w:eastAsia="仿宋_GB2312"/>
          <w:color w:val="000000" w:themeColor="text1"/>
          <w:sz w:val="21"/>
          <w:szCs w:val="21"/>
        </w:rPr>
        <w:t xml:space="preserve"> 供应商应当在响应文件提交截止时间前，通过现场递交完成响应文件提交。</w:t>
      </w:r>
    </w:p>
    <w:p w14:paraId="1BC280E8">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二、在响应文件提交截止时间后，采购人不再接受供应商提交响应文件。供应商应充分考虑影响响应文件提交的各种因素，确保在响应文件提交截止时间前完成提交。</w:t>
      </w:r>
    </w:p>
    <w:p w14:paraId="41FAD301">
      <w:pPr>
        <w:pStyle w:val="13"/>
        <w:spacing w:line="360" w:lineRule="auto"/>
        <w:outlineLvl w:val="3"/>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2.4.11 响应文件的补充（不可补充）</w:t>
      </w:r>
    </w:p>
    <w:p w14:paraId="3CAFC391">
      <w:pPr>
        <w:pStyle w:val="13"/>
        <w:spacing w:line="360" w:lineRule="auto"/>
        <w:outlineLvl w:val="2"/>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2.5 响应文件开启、资格审查、评审和确定供应商</w:t>
      </w:r>
    </w:p>
    <w:p w14:paraId="5A7EC5D8">
      <w:pPr>
        <w:pStyle w:val="13"/>
        <w:spacing w:line="360" w:lineRule="auto"/>
        <w:outlineLvl w:val="3"/>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2.5.1 响应文件开启及开启程序</w:t>
      </w:r>
    </w:p>
    <w:p w14:paraId="5CDEECCC">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一、本项目为线下开启。线下开启的开始时间为响应文件提交截止时间。成功提交响应文件的供应商不足5家的，不予开启，采购人将作废标处理。</w:t>
      </w:r>
    </w:p>
    <w:p w14:paraId="59CAA9A1">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二、开启准备工作</w:t>
      </w:r>
    </w:p>
    <w:p w14:paraId="61E621CC">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响应文件提交截止时间前，供应商现场填写签到表及文件密封确认表。</w:t>
      </w:r>
    </w:p>
    <w:p w14:paraId="67F39208">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三、开启</w:t>
      </w:r>
    </w:p>
    <w:p w14:paraId="15A188CE">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时间截止后（以发生在先的时间为准），由代理机构对供应商名称、响应文件递交情况、响应报价进行展示。</w:t>
      </w:r>
    </w:p>
    <w:p w14:paraId="3B4BF97F">
      <w:pPr>
        <w:pStyle w:val="13"/>
        <w:spacing w:line="360" w:lineRule="auto"/>
        <w:outlineLvl w:val="3"/>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2.5.2 查询及使用信用记录</w:t>
      </w:r>
    </w:p>
    <w:p w14:paraId="763F718A">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开启结束后，采购人根据《关于在政府采购活动中查询及使用信用记录有关问题的通知》（财库〔2016〕125号）的要求，通过“信用中国”网站（www.creditchina.gov.cn）、“中国政府采购网”网站（www.ccgp.gov.cn）等渠道，查询供应商在响应文件提交截止时间前的信用记录并保存信用记录结果网页截图，拒绝列入失信被执行人名单、重大税收违法案件当事人名单、政府采购严重违法失信行为记录名单中的供应商参加本项目的采购活动。</w:t>
      </w:r>
    </w:p>
    <w:p w14:paraId="1E8E1D10">
      <w:pPr>
        <w:pStyle w:val="13"/>
        <w:spacing w:line="360" w:lineRule="auto"/>
        <w:outlineLvl w:val="3"/>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2.5.3 资格审查</w:t>
      </w:r>
    </w:p>
    <w:p w14:paraId="3CD451AA">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详见采购文件第四章。</w:t>
      </w:r>
    </w:p>
    <w:p w14:paraId="6DF65384">
      <w:pPr>
        <w:pStyle w:val="13"/>
        <w:spacing w:line="360" w:lineRule="auto"/>
        <w:outlineLvl w:val="3"/>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2.5.4评审</w:t>
      </w:r>
    </w:p>
    <w:p w14:paraId="3777CEA8">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详见采购文件第五章。</w:t>
      </w:r>
    </w:p>
    <w:p w14:paraId="434B77DE">
      <w:pPr>
        <w:pStyle w:val="13"/>
        <w:spacing w:line="360" w:lineRule="auto"/>
        <w:outlineLvl w:val="3"/>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2.5.5 中选通知书</w:t>
      </w:r>
    </w:p>
    <w:p w14:paraId="5AEA8148">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一、评审委员会确定</w:t>
      </w:r>
      <w:r>
        <w:rPr>
          <w:rFonts w:ascii="仿宋_GB2312" w:hAnsi="仿宋" w:eastAsia="仿宋_GB2312"/>
          <w:b/>
          <w:color w:val="000000" w:themeColor="text1"/>
          <w:sz w:val="21"/>
          <w:szCs w:val="21"/>
        </w:rPr>
        <w:t>中选</w:t>
      </w:r>
      <w:r>
        <w:rPr>
          <w:rFonts w:ascii="仿宋_GB2312" w:hAnsi="仿宋" w:eastAsia="仿宋_GB2312"/>
          <w:color w:val="000000" w:themeColor="text1"/>
          <w:sz w:val="21"/>
          <w:szCs w:val="21"/>
        </w:rPr>
        <w:t>供应商后，采购人在本溪市公共资源交易平台发布采购结果公告。</w:t>
      </w:r>
    </w:p>
    <w:p w14:paraId="4438EC9A">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二、中选通知书是采购人和中选供应商签订采购合同的依据，是采购合同的有效组成部分。如果出现政府采购法律法规、规章制度规定的无效情形的，将以公告形式宣布发出的中选通知书无效，中选通知书将自动失效。</w:t>
      </w:r>
    </w:p>
    <w:p w14:paraId="12DB6716">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三、中选通知书对采购人和中选供应商均具有法律效力。</w:t>
      </w:r>
    </w:p>
    <w:p w14:paraId="275811F9">
      <w:pPr>
        <w:pStyle w:val="13"/>
        <w:spacing w:line="360" w:lineRule="auto"/>
        <w:outlineLvl w:val="2"/>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2.6 签订采购合同</w:t>
      </w:r>
    </w:p>
    <w:p w14:paraId="3C3E7BD2">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一、采购人应在中选通知书发出之日起30日内与中选供应商签订采购合同。</w:t>
      </w:r>
    </w:p>
    <w:p w14:paraId="5A83D720">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二、采购人和中选供应商签订的采购合同不得对采购文件确定的事项以及中选供应商的响应文件作实质性修改。</w:t>
      </w:r>
    </w:p>
    <w:p w14:paraId="1BD55DB7">
      <w:pPr>
        <w:pStyle w:val="13"/>
        <w:spacing w:line="360" w:lineRule="auto"/>
        <w:outlineLvl w:val="2"/>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2.7 纪律要求</w:t>
      </w:r>
    </w:p>
    <w:p w14:paraId="047228DF">
      <w:pPr>
        <w:pStyle w:val="13"/>
        <w:spacing w:line="360" w:lineRule="auto"/>
        <w:outlineLvl w:val="3"/>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2.7.1 评审活动纪律要求</w:t>
      </w:r>
    </w:p>
    <w:p w14:paraId="5BB544C9">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采购人应保证评审活动在严格保密的情况下进行，采购人、供应商和评审委员会成员应当严格遵守政府采购法律法规规章制度和本项目采购文件以及采购人现场管理规定，任何人不得非法干预和影响评审过程和结果。对各供应商的商业秘密，评审委员会成员应予以保密，不得泄露给其他供应商。</w:t>
      </w:r>
    </w:p>
    <w:p w14:paraId="2D68EFED">
      <w:pPr>
        <w:pStyle w:val="13"/>
        <w:spacing w:line="360" w:lineRule="auto"/>
        <w:outlineLvl w:val="3"/>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2.7.2 供应商不得具有的情形（实质性要求）</w:t>
      </w:r>
    </w:p>
    <w:p w14:paraId="054ADAFB">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供应商参加采购响应不得有下列情形：</w:t>
      </w:r>
    </w:p>
    <w:p w14:paraId="3506A4D9">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一、有下列情形之一的，视为供应商串通响应，其响应无效：</w:t>
      </w:r>
    </w:p>
    <w:p w14:paraId="7F483516">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（一）不同供应商的响应文件由同一单位或者个人编制；</w:t>
      </w:r>
    </w:p>
    <w:p w14:paraId="4E8C8039">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（二）不同供应商委托同一单位或者个人办理响应事宜；</w:t>
      </w:r>
    </w:p>
    <w:p w14:paraId="248165C3">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（三）不同供应商的响应文件载明的项目管理成员或者联系人员为同一人；</w:t>
      </w:r>
    </w:p>
    <w:p w14:paraId="7E8BCC5F">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（四）不同供应商的响应文件异常一致或者响应报价呈规律性差异；</w:t>
      </w:r>
    </w:p>
    <w:p w14:paraId="1466D63B">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（五）不同供应商的响应文件相互混装。</w:t>
      </w:r>
    </w:p>
    <w:p w14:paraId="494F95C8">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二、提供虚假材料谋取；</w:t>
      </w:r>
    </w:p>
    <w:p w14:paraId="3B215204">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三、采取不正当手段诋毁、排挤其他供应商；</w:t>
      </w:r>
    </w:p>
    <w:p w14:paraId="5020213F">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四、与采购人或其他供应商恶意串通；</w:t>
      </w:r>
    </w:p>
    <w:p w14:paraId="242EAC17">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五、向采购人、评审委员会成员行贿或者提供其他不正当利益；</w:t>
      </w:r>
    </w:p>
    <w:p w14:paraId="5B710048">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六、在采购过程中与采购人进行协商谈判；</w:t>
      </w:r>
    </w:p>
    <w:p w14:paraId="5EFC6122">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七、采购后无正当理由拒不与采购人签订采购合同；</w:t>
      </w:r>
    </w:p>
    <w:p w14:paraId="4FC2D979">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八、未按照采购文件确定的事项签订采购合同；</w:t>
      </w:r>
    </w:p>
    <w:p w14:paraId="16752FD5">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九、提供假冒伪劣产品；</w:t>
      </w:r>
    </w:p>
    <w:p w14:paraId="1322EDD7">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十、擅自变更、中止或者终止采购合同；</w:t>
      </w:r>
    </w:p>
    <w:p w14:paraId="3097F82F">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十一、拒绝有关部门的监督检查或者向监督检查部门提供虚假情况；</w:t>
      </w:r>
    </w:p>
    <w:p w14:paraId="6D63F575">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十二、法律法规规定的其他禁止情形。</w:t>
      </w:r>
    </w:p>
    <w:p w14:paraId="657AA012">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供应商出现上述情形，将依法追究其法律责任；已提交响应文件的，其响应文件作无效处理；已采购的，取消采购资格或者解除采购资格。</w:t>
      </w:r>
    </w:p>
    <w:p w14:paraId="67EFFF65">
      <w:pPr>
        <w:pStyle w:val="13"/>
        <w:spacing w:line="360" w:lineRule="auto"/>
        <w:outlineLvl w:val="3"/>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2.7.3 采购人员及相关人员回避要求</w:t>
      </w:r>
    </w:p>
    <w:p w14:paraId="481A2CB7">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政府采购活动中，采购人相关人员与供应商有下列利害关系之一的，应当回避：</w:t>
      </w:r>
    </w:p>
    <w:p w14:paraId="0193B53D">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（1）参加采购活动前3年内与供应商存在劳动关系；</w:t>
      </w:r>
    </w:p>
    <w:p w14:paraId="1E9B1C12">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（2）参加采购活动前3年内担任供应商的董事、监事；</w:t>
      </w:r>
    </w:p>
    <w:p w14:paraId="1E2AA5F1">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（3）参加采购活动前3年内是供应商的控股股东或者实际控制人；</w:t>
      </w:r>
    </w:p>
    <w:p w14:paraId="04C6FF26">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（4）与供应商的法定代表人或者负责人有夫妻、直系血亲、三代以内旁系血亲或者近姻亲关系；</w:t>
      </w:r>
    </w:p>
    <w:p w14:paraId="779F6D05">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（5）与供应商有其他可能影响政府采购活动公平、公正进行的关系。</w:t>
      </w:r>
    </w:p>
    <w:p w14:paraId="74F35C0B">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供应商认为采购人相关人员与其他供应商有利害关系的，可以向采购人书面提出回避申请，并说明理由。采购人将及时询问被申请回避人员，有利害关系的被申请回避人员应当回避。</w:t>
      </w:r>
    </w:p>
    <w:p w14:paraId="7D61850E">
      <w:pPr>
        <w:pStyle w:val="13"/>
        <w:spacing w:line="360" w:lineRule="auto"/>
        <w:outlineLvl w:val="2"/>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2.8 询问、质疑</w:t>
      </w:r>
    </w:p>
    <w:p w14:paraId="0D760088">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一、询问、质疑接收和处理由本溪市教育局负责。</w:t>
      </w:r>
    </w:p>
    <w:p w14:paraId="23A97775">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二、供应商询问、质疑的答复主体：</w:t>
      </w:r>
      <w:r>
        <w:rPr>
          <w:rFonts w:ascii="仿宋_GB2312" w:hAnsi="仿宋" w:eastAsia="仿宋_GB2312"/>
          <w:b/>
          <w:color w:val="000000" w:themeColor="text1"/>
          <w:sz w:val="21"/>
          <w:szCs w:val="21"/>
        </w:rPr>
        <w:t>对于采购订立阶段，供应商对采购文件、采购过程和结果的询问、质疑，由采购人负责答复；对于采购合同授予阶段，供应商对采购合同授予过程、授予结果的询问、质疑，由授予采购合同的采购人负责答复。</w:t>
      </w:r>
    </w:p>
    <w:p w14:paraId="4D80AC9A">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三、供应商提出的询问，应当明确询问事项，如以书面形式提出的，由供应商法定代表人或委托代理人签字并加盖公章。</w:t>
      </w:r>
    </w:p>
    <w:p w14:paraId="0F9AB231">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为提高采购效率，降低社会成本，鼓励询问主体对于不损害国家及社会利益或自身合法权益的问题或情形采用询问方式处理解决(包含但不限于文字错误、标点符号、不影响响应文件的编制的情形)。</w:t>
      </w:r>
    </w:p>
    <w:p w14:paraId="6F3D2783">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四、本项目的质疑期</w:t>
      </w:r>
    </w:p>
    <w:p w14:paraId="2A656B03">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供应商认为采购文件、采购过程、中选结果使自己权益受到损害的，可以在知道或者应当知道其权益受到损害之日起3个工作日内，向采购人提出质疑。供应商应在质疑期内一次性提出针对同一采购程序环节或第二阶段成交环节的质疑。</w:t>
      </w:r>
    </w:p>
    <w:p w14:paraId="3647C468">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供应商知道或者应当知道其权益受到损害之日指：</w:t>
      </w:r>
    </w:p>
    <w:p w14:paraId="31BE639E">
      <w:pPr>
        <w:pStyle w:val="13"/>
        <w:numPr>
          <w:ilvl w:val="3"/>
          <w:numId w:val="1"/>
        </w:numPr>
        <w:spacing w:line="360" w:lineRule="auto"/>
        <w:ind w:left="426" w:firstLine="0"/>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对可以质疑采购文件提出质疑的，为收到采购文件之日或采购文件公告期届满之日；</w:t>
      </w:r>
    </w:p>
    <w:p w14:paraId="0395C224">
      <w:pPr>
        <w:pStyle w:val="13"/>
        <w:numPr>
          <w:ilvl w:val="3"/>
          <w:numId w:val="1"/>
        </w:numPr>
        <w:spacing w:line="360" w:lineRule="auto"/>
        <w:ind w:left="426" w:firstLine="0"/>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对采购过程提出质疑的，为各采购程序环节结束之日；</w:t>
      </w:r>
    </w:p>
    <w:p w14:paraId="065240B1">
      <w:pPr>
        <w:pStyle w:val="13"/>
        <w:numPr>
          <w:ilvl w:val="3"/>
          <w:numId w:val="1"/>
        </w:numPr>
        <w:spacing w:line="360" w:lineRule="auto"/>
        <w:ind w:left="426" w:firstLine="0"/>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对中选结果提出质疑的，为中选结果公告期届满之日，中选结果公告期1个工作日；</w:t>
      </w:r>
    </w:p>
    <w:p w14:paraId="5727B41C">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五、本项目接受书面提交质疑，供应商通过书面形式线下向采购人提交质疑资料。</w:t>
      </w:r>
    </w:p>
    <w:p w14:paraId="624933F9">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六、供应商提出质疑时应当准备的资料</w:t>
      </w:r>
    </w:p>
    <w:p w14:paraId="791B3600">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（一）质疑函正本1份；</w:t>
      </w:r>
    </w:p>
    <w:p w14:paraId="16DE6735">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（二）法定代表人或主要负责人授权委托书1份（委托代理人办理质疑事宜的需提供）；</w:t>
      </w:r>
    </w:p>
    <w:p w14:paraId="4012AB6E">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（三）法定代表人或主要负责人身份证复印件1份；</w:t>
      </w:r>
    </w:p>
    <w:p w14:paraId="029B0EA3">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（四）委托代理人身份证复印件1份（委托代理人办理质疑事宜的需提供）；</w:t>
      </w:r>
    </w:p>
    <w:p w14:paraId="42C13DC4">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询问质疑联系方式：</w:t>
      </w:r>
    </w:p>
    <w:p w14:paraId="3ED9B100">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联 系 人： 李先生</w:t>
      </w:r>
    </w:p>
    <w:p w14:paraId="3B03B1CB">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联系电话：42805915</w:t>
      </w:r>
    </w:p>
    <w:p w14:paraId="24C25F0D">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通讯地址：本溪市平山区市府路8号，本溪市教育局财务审计科 </w:t>
      </w:r>
    </w:p>
    <w:p w14:paraId="6EE7F464">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邮编：117000</w:t>
      </w:r>
    </w:p>
    <w:p w14:paraId="3813243F">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注：供应商质疑不得超出采购文件、采购过程、采购结果的范围。</w:t>
      </w:r>
    </w:p>
    <w:p w14:paraId="190D79A3">
      <w:pPr>
        <w:pStyle w:val="13"/>
        <w:spacing w:line="360" w:lineRule="auto"/>
        <w:outlineLvl w:val="2"/>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2.9 用户反馈和评价机制</w:t>
      </w:r>
    </w:p>
    <w:p w14:paraId="74C7838E">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采购人和服务对象将对中选供应商履行采购情况进行反馈与评价，反馈和评价情况将向采购人和服务对象公开，作为成交供应商的参考。</w:t>
      </w:r>
    </w:p>
    <w:p w14:paraId="167AFBBE">
      <w:pPr>
        <w:pStyle w:val="13"/>
        <w:spacing w:line="360" w:lineRule="auto"/>
        <w:outlineLvl w:val="2"/>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2.10 中选供应商的清退和补充规则</w:t>
      </w:r>
    </w:p>
    <w:p w14:paraId="3974C10F">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一、中选供应商清退规则：  中选供应商有下列情形之一，尚未签订采购合同的，取消其采购资格；已经签订采购合同的，解除与其签订的采购资格：</w:t>
      </w:r>
    </w:p>
    <w:p w14:paraId="021920C2">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1) 恶意串通谋取采购资格或者合同成交的；</w:t>
      </w:r>
    </w:p>
    <w:p w14:paraId="7C6FA0A1">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2) 提供虚假材料谋取采购资格或者合同成交的；</w:t>
      </w:r>
    </w:p>
    <w:p w14:paraId="0D50508D">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3) 无正当理由拒不接受合同授予的；</w:t>
      </w:r>
    </w:p>
    <w:p w14:paraId="05AD21B9">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4) 不履行合同义务或者履行合同义务不符合约定，经采购人请求履行后仍不履行或者仍未按约定履行的；</w:t>
      </w:r>
    </w:p>
    <w:p w14:paraId="2C398520">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5)采购有效期内，因违法行为被禁止或限制参加政府采购活动的；</w:t>
      </w:r>
    </w:p>
    <w:p w14:paraId="4E27575C">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6)采购约定的其他情形：</w:t>
      </w:r>
    </w:p>
    <w:p w14:paraId="07D63558">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(1) 将采购合同转包；</w:t>
      </w:r>
    </w:p>
    <w:p w14:paraId="5D6531AD">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(2) 提供假冒伪劣产品；</w:t>
      </w:r>
    </w:p>
    <w:p w14:paraId="7761B4BF">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(3) 向采购人行贿或者提供其他不正当利益；</w:t>
      </w:r>
    </w:p>
    <w:p w14:paraId="1CA32D82">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(4) 拒绝财政部门监督检查或者提供虚假情况；</w:t>
      </w:r>
    </w:p>
    <w:p w14:paraId="117BD05F">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(5) 干扰、扰乱系统正常使用，包括但不限于爬取、篡改、利用漏洞的行为；</w:t>
      </w:r>
    </w:p>
    <w:p w14:paraId="1FD97D0E">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二、中选供应商补充规则：</w:t>
      </w:r>
    </w:p>
    <w:p w14:paraId="27CBA31E">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是否允许补充中选供应商： 是</w:t>
      </w:r>
    </w:p>
    <w:p w14:paraId="22D54DB2">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采购有效期内，如剩余中选供应商不足中选供应商总数的70%且影响采购执行的，采购人可以补充中选供应商。采购有效期内，当剩余中选供应商不足中选供应商总数70%且影响采购执行时，采购人将启动补充中选供应商。补充采购的条件、程序、评审方法与初次采购相同。有效期遵守原采购的有效期。</w:t>
      </w:r>
    </w:p>
    <w:p w14:paraId="1A1E29A6">
      <w:pPr>
        <w:pStyle w:val="13"/>
        <w:outlineLvl w:val="2"/>
        <w:rPr>
          <w:rFonts w:hint="default" w:ascii="仿宋_GB2312" w:hAnsi="仿宋" w:eastAsia="仿宋_GB2312"/>
          <w:b/>
          <w:color w:val="000000" w:themeColor="text1"/>
          <w:szCs w:val="21"/>
        </w:rPr>
      </w:pPr>
      <w:r>
        <w:rPr>
          <w:rFonts w:ascii="仿宋_GB2312" w:hAnsi="仿宋" w:eastAsia="仿宋_GB2312"/>
          <w:b/>
          <w:color w:val="000000" w:themeColor="text1"/>
          <w:sz w:val="21"/>
          <w:szCs w:val="21"/>
        </w:rPr>
        <w:t>2.11 其他要求：</w:t>
      </w:r>
      <w:r>
        <w:rPr>
          <w:rFonts w:ascii="仿宋_GB2312" w:hAnsi="仿宋" w:eastAsia="仿宋_GB2312"/>
          <w:b/>
          <w:color w:val="000000" w:themeColor="text1"/>
          <w:szCs w:val="21"/>
        </w:rPr>
        <w:t>无</w:t>
      </w:r>
    </w:p>
    <w:p w14:paraId="31124584">
      <w:pPr>
        <w:pStyle w:val="13"/>
        <w:spacing w:line="360" w:lineRule="auto"/>
        <w:outlineLvl w:val="2"/>
        <w:rPr>
          <w:rFonts w:hint="default" w:ascii="仿宋_GB2312" w:hAnsi="仿宋" w:eastAsia="仿宋_GB2312"/>
          <w:color w:val="000000" w:themeColor="text1"/>
          <w:sz w:val="21"/>
          <w:szCs w:val="21"/>
        </w:rPr>
      </w:pPr>
    </w:p>
    <w:p w14:paraId="148B3320">
      <w:pPr>
        <w:pStyle w:val="13"/>
        <w:spacing w:line="360" w:lineRule="auto"/>
        <w:jc w:val="center"/>
        <w:outlineLvl w:val="1"/>
        <w:rPr>
          <w:rFonts w:hint="default" w:ascii="仿宋_GB2312" w:hAnsi="仿宋" w:eastAsia="仿宋_GB2312"/>
          <w:color w:val="000000" w:themeColor="text1"/>
          <w:sz w:val="36"/>
          <w:szCs w:val="36"/>
        </w:rPr>
      </w:pPr>
      <w:r>
        <w:rPr>
          <w:rFonts w:ascii="仿宋_GB2312" w:hAnsi="仿宋" w:eastAsia="仿宋_GB2312"/>
          <w:b/>
          <w:color w:val="000000" w:themeColor="text1"/>
          <w:sz w:val="36"/>
          <w:szCs w:val="36"/>
        </w:rPr>
        <w:t xml:space="preserve">第三章 </w:t>
      </w:r>
      <w:r>
        <w:rPr>
          <w:rFonts w:hint="default" w:ascii="仿宋_GB2312" w:hAnsi="仿宋" w:eastAsia="仿宋_GB2312"/>
          <w:b/>
          <w:color w:val="000000" w:themeColor="text1"/>
          <w:sz w:val="36"/>
          <w:szCs w:val="36"/>
        </w:rPr>
        <w:t xml:space="preserve">  </w:t>
      </w:r>
      <w:r>
        <w:rPr>
          <w:rFonts w:ascii="仿宋_GB2312" w:hAnsi="仿宋" w:eastAsia="仿宋_GB2312"/>
          <w:b/>
          <w:color w:val="000000" w:themeColor="text1"/>
          <w:sz w:val="36"/>
          <w:szCs w:val="36"/>
        </w:rPr>
        <w:t>采购项目技术、服务、商务及其他要求</w:t>
      </w:r>
    </w:p>
    <w:p w14:paraId="3E63865B">
      <w:pPr>
        <w:pStyle w:val="13"/>
        <w:spacing w:line="360" w:lineRule="auto"/>
        <w:outlineLvl w:val="2"/>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3.1 采购项目概况</w:t>
      </w:r>
    </w:p>
    <w:p w14:paraId="661CE24F">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采购人指定的食堂人员管理服务，具体内容如下：</w:t>
      </w:r>
    </w:p>
    <w:p w14:paraId="0BB03687">
      <w:pPr>
        <w:pStyle w:val="13"/>
        <w:spacing w:line="360" w:lineRule="auto"/>
        <w:ind w:firstLine="420" w:firstLineChars="200"/>
        <w:outlineLvl w:val="2"/>
        <w:rPr>
          <w:rFonts w:hint="default" w:ascii="仿宋_GB2312" w:hAnsi="仿宋" w:eastAsia="仿宋_GB2312"/>
          <w:color w:val="000000" w:themeColor="text1"/>
          <w:sz w:val="21"/>
          <w:szCs w:val="21"/>
        </w:rPr>
      </w:pPr>
      <w:r>
        <w:rPr>
          <w:rFonts w:ascii="仿宋_GB2312" w:hAnsi="仿宋" w:eastAsia="仿宋_GB2312" w:cs="Times New Roman"/>
          <w:color w:val="000000" w:themeColor="text1"/>
          <w:sz w:val="21"/>
          <w:szCs w:val="21"/>
        </w:rPr>
        <w:t>本项目招标自有食堂餐饮服务管理，要求中选企业具有餐饮服务管理能力、从业人员专业培训能力，按学校就餐人数匹配相应工作人员，且服务质量能满足学校就餐需求。食堂产生的燃气（煤油）、水、电费用、聘用人员工资及保险、低值易耗品、食堂设备用具的维护维修费及损耗费等由中选单位负责运营。</w:t>
      </w:r>
    </w:p>
    <w:p w14:paraId="3C99A3E8">
      <w:pPr>
        <w:pStyle w:val="13"/>
        <w:spacing w:line="360" w:lineRule="auto"/>
        <w:outlineLvl w:val="2"/>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3.2 采购内容</w:t>
      </w:r>
    </w:p>
    <w:tbl>
      <w:tblPr>
        <w:tblStyle w:val="9"/>
        <w:tblW w:w="785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01"/>
        <w:gridCol w:w="1134"/>
        <w:gridCol w:w="1134"/>
        <w:gridCol w:w="1134"/>
        <w:gridCol w:w="1418"/>
      </w:tblGrid>
      <w:tr w14:paraId="649BA8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49C91A5">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序号</w:t>
            </w:r>
          </w:p>
        </w:tc>
        <w:tc>
          <w:tcPr>
            <w:tcW w:w="2001" w:type="dxa"/>
          </w:tcPr>
          <w:p w14:paraId="596C8831">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标的名称</w:t>
            </w:r>
          </w:p>
        </w:tc>
        <w:tc>
          <w:tcPr>
            <w:tcW w:w="1134" w:type="dxa"/>
          </w:tcPr>
          <w:p w14:paraId="6EED29CC">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采购品目</w:t>
            </w:r>
          </w:p>
        </w:tc>
        <w:tc>
          <w:tcPr>
            <w:tcW w:w="1134" w:type="dxa"/>
          </w:tcPr>
          <w:p w14:paraId="7EC35331">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计量单位</w:t>
            </w:r>
          </w:p>
        </w:tc>
        <w:tc>
          <w:tcPr>
            <w:tcW w:w="1134" w:type="dxa"/>
          </w:tcPr>
          <w:p w14:paraId="4CEB1F58">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所属行业</w:t>
            </w:r>
          </w:p>
        </w:tc>
        <w:tc>
          <w:tcPr>
            <w:tcW w:w="1418" w:type="dxa"/>
          </w:tcPr>
          <w:p w14:paraId="3901DFA8">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预估采购数量</w:t>
            </w:r>
          </w:p>
        </w:tc>
      </w:tr>
      <w:tr w14:paraId="3B45F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15713FD">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1</w:t>
            </w:r>
          </w:p>
        </w:tc>
        <w:tc>
          <w:tcPr>
            <w:tcW w:w="2001" w:type="dxa"/>
          </w:tcPr>
          <w:p w14:paraId="3326C3AB">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食堂餐饮服务管理</w:t>
            </w:r>
          </w:p>
        </w:tc>
        <w:tc>
          <w:tcPr>
            <w:tcW w:w="1134" w:type="dxa"/>
          </w:tcPr>
          <w:p w14:paraId="14B1C487">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其他服务</w:t>
            </w:r>
          </w:p>
        </w:tc>
        <w:tc>
          <w:tcPr>
            <w:tcW w:w="1134" w:type="dxa"/>
          </w:tcPr>
          <w:p w14:paraId="2A177D9F">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次</w:t>
            </w:r>
          </w:p>
        </w:tc>
        <w:tc>
          <w:tcPr>
            <w:tcW w:w="1134" w:type="dxa"/>
          </w:tcPr>
          <w:p w14:paraId="65B84AB2">
            <w:pPr>
              <w:pStyle w:val="13"/>
              <w:spacing w:line="360" w:lineRule="auto"/>
              <w:rPr>
                <w:rFonts w:hint="default" w:ascii="仿宋_GB2312" w:hAnsi="仿宋" w:eastAsia="仿宋_GB2312"/>
                <w:color w:val="000000" w:themeColor="text1"/>
                <w:sz w:val="21"/>
                <w:szCs w:val="21"/>
              </w:rPr>
            </w:pPr>
            <w:r>
              <w:rPr>
                <w:rFonts w:ascii="仿宋_GB2312" w:hAnsi="仿宋" w:eastAsia="仿宋_GB2312" w:cs="Times New Roman"/>
                <w:color w:val="000000" w:themeColor="text1"/>
                <w:sz w:val="21"/>
                <w:szCs w:val="21"/>
              </w:rPr>
              <w:t>餐饮</w:t>
            </w:r>
          </w:p>
        </w:tc>
        <w:tc>
          <w:tcPr>
            <w:tcW w:w="1418" w:type="dxa"/>
          </w:tcPr>
          <w:p w14:paraId="07AE20E1">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5</w:t>
            </w:r>
          </w:p>
        </w:tc>
      </w:tr>
    </w:tbl>
    <w:p w14:paraId="6B78B2A4">
      <w:pPr>
        <w:pStyle w:val="13"/>
        <w:spacing w:line="360" w:lineRule="auto"/>
        <w:outlineLvl w:val="2"/>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3.3 服务内容及服务要求</w:t>
      </w:r>
    </w:p>
    <w:tbl>
      <w:tblPr>
        <w:tblStyle w:val="9"/>
        <w:tblW w:w="8897" w:type="dxa"/>
        <w:tblInd w:w="0"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1559"/>
        <w:gridCol w:w="1418"/>
        <w:gridCol w:w="5103"/>
      </w:tblGrid>
      <w:tr w14:paraId="3B463EF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817" w:type="dxa"/>
          </w:tcPr>
          <w:p w14:paraId="0A212BAD">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序号</w:t>
            </w:r>
          </w:p>
        </w:tc>
        <w:tc>
          <w:tcPr>
            <w:tcW w:w="1559" w:type="dxa"/>
          </w:tcPr>
          <w:p w14:paraId="3B5D4B86">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服务项类型</w:t>
            </w:r>
          </w:p>
        </w:tc>
        <w:tc>
          <w:tcPr>
            <w:tcW w:w="1418" w:type="dxa"/>
          </w:tcPr>
          <w:p w14:paraId="7E727EB7">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服务项名称</w:t>
            </w:r>
          </w:p>
        </w:tc>
        <w:tc>
          <w:tcPr>
            <w:tcW w:w="5103" w:type="dxa"/>
          </w:tcPr>
          <w:p w14:paraId="33C8C383">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服务项对应描述</w:t>
            </w:r>
          </w:p>
        </w:tc>
      </w:tr>
      <w:tr w14:paraId="3F533B9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817" w:type="dxa"/>
          </w:tcPr>
          <w:p w14:paraId="57887B5E">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1</w:t>
            </w:r>
          </w:p>
        </w:tc>
        <w:tc>
          <w:tcPr>
            <w:tcW w:w="1559" w:type="dxa"/>
          </w:tcPr>
          <w:p w14:paraId="6AF6CF07">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服务内容</w:t>
            </w:r>
          </w:p>
        </w:tc>
        <w:tc>
          <w:tcPr>
            <w:tcW w:w="1418" w:type="dxa"/>
          </w:tcPr>
          <w:p w14:paraId="0CE9F182">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服务范围</w:t>
            </w:r>
          </w:p>
        </w:tc>
        <w:tc>
          <w:tcPr>
            <w:tcW w:w="5103" w:type="dxa"/>
          </w:tcPr>
          <w:p w14:paraId="41485AC9">
            <w:pPr>
              <w:pStyle w:val="13"/>
              <w:spacing w:line="360" w:lineRule="auto"/>
              <w:rPr>
                <w:rFonts w:hint="default" w:ascii="仿宋_GB2312" w:hAnsi="仿宋" w:eastAsia="仿宋_GB2312"/>
                <w:color w:val="000000" w:themeColor="text1"/>
                <w:sz w:val="21"/>
                <w:szCs w:val="21"/>
              </w:rPr>
            </w:pPr>
            <w:r>
              <w:rPr>
                <w:rFonts w:ascii="仿宋_GB2312" w:hAnsi="仿宋" w:eastAsia="仿宋_GB2312" w:cs="Times New Roman"/>
                <w:color w:val="000000" w:themeColor="text1"/>
                <w:sz w:val="21"/>
                <w:szCs w:val="21"/>
              </w:rPr>
              <w:t>食堂经营管理（含食材清洗、加工、烹饪，符合食品安全操作规范，运营管理规范）、卫生管理（食堂后厨、就餐区、储物区每日清洁，每周深度消杀）、人员管理（包含“妈妈职工”）、设备设施管理（含维护、维修，燃气、煤油、水、电费支出等）</w:t>
            </w:r>
          </w:p>
        </w:tc>
      </w:tr>
      <w:tr w14:paraId="07F0652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817" w:type="dxa"/>
          </w:tcPr>
          <w:p w14:paraId="7D6ECAA6">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2</w:t>
            </w:r>
          </w:p>
        </w:tc>
        <w:tc>
          <w:tcPr>
            <w:tcW w:w="1559" w:type="dxa"/>
          </w:tcPr>
          <w:p w14:paraId="24564FB5">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服务内容</w:t>
            </w:r>
          </w:p>
        </w:tc>
        <w:tc>
          <w:tcPr>
            <w:tcW w:w="1418" w:type="dxa"/>
          </w:tcPr>
          <w:p w14:paraId="4E1274AE">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固定价格</w:t>
            </w:r>
          </w:p>
        </w:tc>
        <w:tc>
          <w:tcPr>
            <w:tcW w:w="5103" w:type="dxa"/>
          </w:tcPr>
          <w:p w14:paraId="38E88488">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本项目为固定费率采购，用餐师生餐费的29%作为支付费用，此费用包含水、电、燃气、人工费、保险等一切费用。 </w:t>
            </w:r>
          </w:p>
        </w:tc>
      </w:tr>
      <w:tr w14:paraId="442F0F7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817" w:type="dxa"/>
          </w:tcPr>
          <w:p w14:paraId="26844149">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3</w:t>
            </w:r>
          </w:p>
        </w:tc>
        <w:tc>
          <w:tcPr>
            <w:tcW w:w="1559" w:type="dxa"/>
          </w:tcPr>
          <w:p w14:paraId="683C9938">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其他服务要求</w:t>
            </w:r>
          </w:p>
        </w:tc>
        <w:tc>
          <w:tcPr>
            <w:tcW w:w="1418" w:type="dxa"/>
          </w:tcPr>
          <w:p w14:paraId="0C40A427">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服务地点</w:t>
            </w:r>
          </w:p>
        </w:tc>
        <w:tc>
          <w:tcPr>
            <w:tcW w:w="5103" w:type="dxa"/>
          </w:tcPr>
          <w:p w14:paraId="38A847E6">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采购人指定地点</w:t>
            </w:r>
          </w:p>
        </w:tc>
      </w:tr>
      <w:tr w14:paraId="1908B4E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817" w:type="dxa"/>
          </w:tcPr>
          <w:p w14:paraId="3BBBD952">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4</w:t>
            </w:r>
          </w:p>
        </w:tc>
        <w:tc>
          <w:tcPr>
            <w:tcW w:w="1559" w:type="dxa"/>
          </w:tcPr>
          <w:p w14:paraId="055C71C8">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其他服务要求</w:t>
            </w:r>
          </w:p>
        </w:tc>
        <w:tc>
          <w:tcPr>
            <w:tcW w:w="1418" w:type="dxa"/>
          </w:tcPr>
          <w:p w14:paraId="44475CC1">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服务要求</w:t>
            </w:r>
          </w:p>
        </w:tc>
        <w:tc>
          <w:tcPr>
            <w:tcW w:w="5103" w:type="dxa"/>
          </w:tcPr>
          <w:p w14:paraId="36373560">
            <w:pPr>
              <w:pStyle w:val="13"/>
              <w:spacing w:line="360" w:lineRule="auto"/>
              <w:ind w:firstLine="210" w:firstLineChars="100"/>
              <w:rPr>
                <w:rFonts w:hint="default" w:ascii="仿宋_GB2312" w:hAnsi="仿宋" w:eastAsia="仿宋_GB2312"/>
                <w:color w:val="000000" w:themeColor="text1"/>
                <w:sz w:val="21"/>
                <w:szCs w:val="21"/>
              </w:rPr>
            </w:pPr>
            <w:r>
              <w:rPr>
                <w:rFonts w:ascii="仿宋_GB2312" w:hAnsi="仿宋" w:eastAsia="仿宋_GB2312" w:cs="Times New Roman"/>
                <w:color w:val="000000" w:themeColor="text1"/>
                <w:sz w:val="21"/>
                <w:szCs w:val="21"/>
              </w:rPr>
              <w:t xml:space="preserve">供应商须按学校实际就餐人数配备专业人员，厨师需持中级及以上厨师证，杂工、保洁等人员需经专业培训并取得合格证书；所有人员持有效健康证上岗，健康证到期前15日内复检，供应商每月提交健康证台账，学校核实后报市、县（区）教育局备案。落实“妈妈职工”机制，由供应商预留人员份额。学校每学年开学前15日公示招聘信息（含岗位、职责、工作时间、薪资），采购期不少于7天；由学校后勤负责人、家长及教师代表组成评选小组，优先选有餐饮经验、责任心强的家长，“妈妈职工”名额不低于服务团队的10%，录用后公示3天接受监督。中选后对所服务的学校购买足额的食品安全责任险。    </w:t>
            </w:r>
          </w:p>
        </w:tc>
      </w:tr>
      <w:tr w14:paraId="70E4986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817" w:type="dxa"/>
          </w:tcPr>
          <w:p w14:paraId="21618A47">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6</w:t>
            </w:r>
          </w:p>
        </w:tc>
        <w:tc>
          <w:tcPr>
            <w:tcW w:w="1559" w:type="dxa"/>
          </w:tcPr>
          <w:p w14:paraId="24ABD508">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其他服务要求</w:t>
            </w:r>
          </w:p>
        </w:tc>
        <w:tc>
          <w:tcPr>
            <w:tcW w:w="1418" w:type="dxa"/>
          </w:tcPr>
          <w:p w14:paraId="65E08774">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岗位职责要求</w:t>
            </w:r>
          </w:p>
        </w:tc>
        <w:tc>
          <w:tcPr>
            <w:tcW w:w="5103" w:type="dxa"/>
          </w:tcPr>
          <w:p w14:paraId="7413E3C6">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（一）食堂经理</w:t>
            </w:r>
          </w:p>
          <w:p w14:paraId="3FABCD29">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1. 统筹管理：确保食品安全。全面负责食堂日常运营管理，制定工作计划与目标，合理调配人力、物力资源，保障食堂高效运转，确保为师生提供安全、优质、稳定的餐饮服务及时反馈并处理采购人提出的建议及要求。</w:t>
            </w:r>
          </w:p>
          <w:p w14:paraId="449BDD71">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2. 食品安全把控：严格落实食品安全管理制度，监督食材供应商提供的所有食材的质量安全（并做好交接、留痕，索票、溯源等工作）、储存、加工、售卖全流程，定期检查食品质量与卫生状况，确保符合国家食品安全标准，杜绝食品安全事故发生。</w:t>
            </w:r>
          </w:p>
          <w:p w14:paraId="7ACBFDFD">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3. 成本控制：负责食堂成本控制，合理制定菜谱（周或天）及菜品价格，监控食材消耗，优化采购渠道，减少浪费。</w:t>
            </w:r>
          </w:p>
          <w:p w14:paraId="4EC4B05F">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4. 团队建设与培训：组织食堂员工开展技能培训与安全教育，提升员工业务水平与安全意识；加强团队文化建设，营造良好工作氛围，提高团队凝聚力与工作效率协助采购人收集、整理员工身份信息，办理必要手续。</w:t>
            </w:r>
          </w:p>
          <w:p w14:paraId="250A1FFB">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5. 沟通协调：与采购人相关部门、师生保持密切沟通，及时了解师生餐饮需求与反馈意见，积极改进服务质量；协调处理食堂与外部单位的业务往来及合作事宜。</w:t>
            </w:r>
          </w:p>
          <w:p w14:paraId="70766727">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6. 应急处理：制定食堂食品安全、火灾等应急预案，组织应急演练；在突发事件发生时，迅速启动预案，妥善处理，降低事件影响并做好善后工作。</w:t>
            </w:r>
          </w:p>
          <w:p w14:paraId="0E89655E">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（二）办公室内勤</w:t>
            </w:r>
          </w:p>
          <w:p w14:paraId="66DF46C9">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1. 统计管理：统计管理收入支出账目、票据等，及时核对账目，确保账目准确无误。</w:t>
            </w:r>
          </w:p>
          <w:p w14:paraId="0DBB1D1F">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2. 服务师生：热情、耐心接待就餐师生，解答师生关于价格、菜品等方面的疑问；维护取餐窗口秩序，引导师生有序排队就餐，避免拥挤、混乱。</w:t>
            </w:r>
          </w:p>
          <w:p w14:paraId="347BF2B0">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3. 系统维护：负责收银设备日常保养，如出现故障及时报修，并做好故障期间手工收银记录；定期与采购人财务部门核对账目，确保数据准确无误。</w:t>
            </w:r>
          </w:p>
          <w:p w14:paraId="3764A63E">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4. 账目管理：严格遵守财务制度，严禁私自更改菜品价格；对异常消费情况及时上报，防止出现财务漏洞。</w:t>
            </w:r>
          </w:p>
          <w:p w14:paraId="1F701695">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5. 信息反馈：收集师生对食堂价格、服务等方面的意见与建议，及时反馈给食堂主管，以便改进工作。</w:t>
            </w:r>
          </w:p>
          <w:p w14:paraId="0EA30F37">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6.查验货管理：做好日常查验货工作，确保食材新鲜、无腐烂、变质、临期、过期食材进入食堂，禁止与供货商私自接触来往。</w:t>
            </w:r>
          </w:p>
          <w:p w14:paraId="2DE17654">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7.材料：材料统计、留存及软件录入，确保食堂运营环节有据可查。</w:t>
            </w:r>
          </w:p>
          <w:p w14:paraId="4188E271">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8.留样及试餐环节：师生就餐前30分钟进行留样和试餐，确保师生食品安全。</w:t>
            </w:r>
          </w:p>
          <w:p w14:paraId="0A9ED2E3">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（三）库管</w:t>
            </w:r>
          </w:p>
          <w:p w14:paraId="7E02D7D2">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1. 入库管理：核对耗材数量、规格、质量、保质期，登记台账，不合格品拒收。</w:t>
            </w:r>
          </w:p>
          <w:p w14:paraId="42B23A1B">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2. 存储管理：按品类要求分区存放，定期检查防虫鼠。</w:t>
            </w:r>
          </w:p>
          <w:p w14:paraId="3BA23197">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3. 库存管控：定期盘点，记录损耗，预警缺货，提出采购建议，避免积压。</w:t>
            </w:r>
          </w:p>
          <w:p w14:paraId="5409A9F1">
            <w:pPr>
              <w:pStyle w:val="16"/>
              <w:pageBreakBefore/>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4. 出库管理：按规定领取，核对数量，确保账物相符。</w:t>
            </w:r>
          </w:p>
          <w:p w14:paraId="2BCD3746">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5.卫生：保持库房整洁。</w:t>
            </w:r>
          </w:p>
          <w:p w14:paraId="082B9BB9">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6.库房管理软件操作：登记出入库明细，留存采购票据。</w:t>
            </w:r>
          </w:p>
          <w:p w14:paraId="37D927A2">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（四）厨师</w:t>
            </w:r>
          </w:p>
          <w:p w14:paraId="4EDFDA34">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1. 菜品制作：严格按照烹饪规范与食谱要求，精心制作各类菜品，确保色、香、味、形俱佳，满足师生口味需求；根据季节变化和师生反馈，创新菜品，丰富食堂菜谱。</w:t>
            </w:r>
          </w:p>
          <w:p w14:paraId="1B22A71B">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2. 食材管理：合理计划食材领用，严格执行食材验收标准，对变质、过期食材及时上报处理；妥善保管未加工食材，防止浪费与变质。</w:t>
            </w:r>
          </w:p>
          <w:p w14:paraId="291D1EEE">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3. 设备使用与维护：正确操作、使用厨房设备，定期进行清洁与保养，发现设备故障及时报修，确保设备正常运行；遵守安全操作规程，防止发生安全事故。</w:t>
            </w:r>
          </w:p>
          <w:p w14:paraId="5A6EB2AD">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4. 卫生管理：负责操作区域环境卫生，保持灶台、案板、厨具等清洁，做到工完场清；严格遵守食品卫生制度，穿戴工作服、帽、口罩，防止食品污染。</w:t>
            </w:r>
          </w:p>
          <w:p w14:paraId="02B8FAB5">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5. 协助工作：配合食堂主管完成其他相关工作，如参与食堂成本控制、提供菜品改进建议等。</w:t>
            </w:r>
          </w:p>
          <w:p w14:paraId="3CD34041">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（五）切配</w:t>
            </w:r>
          </w:p>
          <w:p w14:paraId="682594A4">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1. 食材预处理：负责食材的清洗、择选、削皮、切配等预处理工作，确保食材干净、卫生，符合加工要求；按照菜品制作需求，合理控制食材切配规格与数量。</w:t>
            </w:r>
          </w:p>
          <w:p w14:paraId="43D70CE0">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2. 辅助烹饪：协助厨师进行菜品烹饪，如准备调料、添加食材、翻炒菜品等，保障烹饪过程顺利进行；学习烹饪技巧，不断提升自身业务能力。</w:t>
            </w:r>
          </w:p>
          <w:p w14:paraId="61AE5AFB">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3. 餐具清洗：及时清洗、消毒食堂餐具、厨具及容器，分类存放，确保餐具洁净、无油污；定期检查餐具损耗情况，及时补充、更换破损餐具。</w:t>
            </w:r>
          </w:p>
          <w:p w14:paraId="0CAC0D67">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4. 环境卫生：保持工作区域清洁卫生，及时清理厨余垃圾，定期对操作台、地面、墙面等进行清洁消毒，防止细菌滋生。</w:t>
            </w:r>
          </w:p>
          <w:p w14:paraId="2FEEF50F">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5.餐具清洗消毒：严格按照“一刮、二洗、三冲、四消毒、五保洁”的标准流程，对食堂使用后的餐具、炊具及盛放直接入口食品的容器进行清洗。使用专用洗涤剂去除油污、残渣，确保无食物残留。</w:t>
            </w:r>
          </w:p>
          <w:p w14:paraId="0464BBBC">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6.科学消毒操作：根据餐具材质和数量，选择合适的消毒方式，确保消毒效果达标，有效杀灭细菌、病毒等病原体。</w:t>
            </w:r>
          </w:p>
          <w:p w14:paraId="7D47C068">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7. 消毒记录管理：认真填写餐具消毒记录，详细记录消毒时间、消毒方式、餐具种类及数量等信息，做到有据可查，便于食堂管理人员监督检查，确保消毒工作规范、可追溯。</w:t>
            </w:r>
          </w:p>
          <w:p w14:paraId="2155848F">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8. 服从安排：听从学校食堂主管工作安排，积极完成临时交办的各项任务，配合其他岗位员工工作。</w:t>
            </w:r>
          </w:p>
          <w:p w14:paraId="799CA724">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（六）保洁员</w:t>
            </w:r>
          </w:p>
          <w:p w14:paraId="680EE7F2">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1. 环境卫生清扫：每日对食堂就餐区、操作区、厨房、走廊等区域进行全面清扫，包括地面、墙面、桌椅、门窗等，做到无灰尘、无污渍、无杂物；定期对食堂进行深度清洁，如擦拭天花板、清洗排风扇等。</w:t>
            </w:r>
          </w:p>
          <w:p w14:paraId="4B123EEB">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2. 垃圾处理：及时清理食堂内产生的垃圾，分类收集，定期清运；保持垃圾桶、垃圾存放点清洁卫生，防止异味散发与蚊虫滋生。</w:t>
            </w:r>
          </w:p>
          <w:p w14:paraId="34137D75">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3. 消毒工作：按照卫生标准，定期对食堂就餐区、餐具存放区等进行消毒处理，如使用消毒水擦拭桌椅、喷洒消毒空气等，保障师生就餐环境安全卫生。</w:t>
            </w:r>
          </w:p>
          <w:p w14:paraId="6015192A">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4. 设施维护：爱护食堂公共设施，发现损坏及时上报；协助食堂其他岗位员工做好环境卫生相关工作，如在就餐高峰期及时清理餐桌残留食物。</w:t>
            </w:r>
          </w:p>
        </w:tc>
      </w:tr>
      <w:tr w14:paraId="73B0CC1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817" w:type="dxa"/>
          </w:tcPr>
          <w:p w14:paraId="52D03746">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7</w:t>
            </w:r>
          </w:p>
        </w:tc>
        <w:tc>
          <w:tcPr>
            <w:tcW w:w="1559" w:type="dxa"/>
          </w:tcPr>
          <w:p w14:paraId="5D3CF365">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服务标准</w:t>
            </w:r>
          </w:p>
        </w:tc>
        <w:tc>
          <w:tcPr>
            <w:tcW w:w="1418" w:type="dxa"/>
          </w:tcPr>
          <w:p w14:paraId="493460A8">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服务考核</w:t>
            </w:r>
          </w:p>
        </w:tc>
        <w:tc>
          <w:tcPr>
            <w:tcW w:w="5103" w:type="dxa"/>
          </w:tcPr>
          <w:p w14:paraId="371718E6">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1、在合同有效期内，服务提供方经校管理考核领导小组按照学校管理考核细则考核不合格的，学校有权无条件提前解除合同，由此产生的全部经济损失由服务提供方承担。</w:t>
            </w:r>
          </w:p>
          <w:p w14:paraId="79160384">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2.1、服务提供方的报价中，应包含（但不限于）项目所有员工工资、各种社会保险费及意外伤害险、税金、福利费、劳动保护、服装费等全部费用。</w:t>
            </w:r>
          </w:p>
          <w:p w14:paraId="32D15EEA">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2.2、因服务提供方及其工作人员的原因，对其自身、校方及第三方造成人身损害或财产损失的，全部法律责任及经济赔偿责任由服务提供方承担。</w:t>
            </w:r>
          </w:p>
          <w:p w14:paraId="57B8229B">
            <w:pPr>
              <w:pStyle w:val="16"/>
              <w:spacing w:line="360" w:lineRule="auto"/>
              <w:rPr>
                <w:rFonts w:ascii="仿宋_GB2312" w:hAnsi="仿宋" w:eastAsia="仿宋_GB2312" w:cstheme="minorBidi"/>
                <w:color w:val="000000" w:themeColor="text1"/>
                <w:sz w:val="21"/>
                <w:szCs w:val="21"/>
              </w:rPr>
            </w:pPr>
            <w:r>
              <w:rPr>
                <w:rFonts w:hint="eastAsia" w:ascii="仿宋_GB2312" w:hAnsi="仿宋" w:eastAsia="仿宋_GB2312" w:cstheme="minorBidi"/>
                <w:color w:val="000000" w:themeColor="text1"/>
                <w:sz w:val="21"/>
                <w:szCs w:val="21"/>
              </w:rPr>
              <w:t>3、经采购人对中选供应商的月度服务质量进行综合考评, 综合各项服务满意度在 90%（含）以上为合格；经考评未能达到采购人要求的（满意度在90%以下），采购人有权要求中选供应商进行整改；若整改后仍未达到要求，采购人有权单方无条件终止合同，中选供应商无条件退出。</w:t>
            </w:r>
          </w:p>
          <w:p w14:paraId="1D78A778">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4、付款方式：按月付款，服务满一个月后，由服务提供方提供正规税务发票，经学校相关部门考核符合要求后，在下月25日前以银行转帐方式支付上月服务费。如服务提供方有违约扣款，经双方相关人员核实确认后，报学校财务部门从服务提供方当月服务费用中扣除。</w:t>
            </w:r>
          </w:p>
        </w:tc>
      </w:tr>
      <w:tr w14:paraId="6B0635D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817" w:type="dxa"/>
          </w:tcPr>
          <w:p w14:paraId="044837C6">
            <w:pPr>
              <w:pStyle w:val="13"/>
              <w:spacing w:line="360" w:lineRule="auto"/>
              <w:rPr>
                <w:rFonts w:hint="default" w:ascii="仿宋_GB2312" w:hAnsi="仿宋" w:eastAsia="仿宋_GB2312"/>
                <w:color w:val="000000" w:themeColor="text1"/>
                <w:sz w:val="21"/>
                <w:szCs w:val="21"/>
              </w:rPr>
            </w:pPr>
          </w:p>
        </w:tc>
        <w:tc>
          <w:tcPr>
            <w:tcW w:w="1559" w:type="dxa"/>
          </w:tcPr>
          <w:p w14:paraId="5690083B">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其他要求</w:t>
            </w:r>
          </w:p>
        </w:tc>
        <w:tc>
          <w:tcPr>
            <w:tcW w:w="1418" w:type="dxa"/>
          </w:tcPr>
          <w:p w14:paraId="4CB5621F">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签订合同</w:t>
            </w:r>
          </w:p>
        </w:tc>
        <w:tc>
          <w:tcPr>
            <w:tcW w:w="5103" w:type="dxa"/>
          </w:tcPr>
          <w:p w14:paraId="5CC7EB6C">
            <w:pPr>
              <w:spacing w:line="360" w:lineRule="auto"/>
              <w:ind w:firstLine="210" w:firstLineChars="100"/>
              <w:rPr>
                <w:rFonts w:ascii="仿宋_GB2312" w:hAnsi="仿宋" w:eastAsia="仿宋_GB2312"/>
                <w:color w:val="000000" w:themeColor="text1"/>
                <w:kern w:val="0"/>
                <w:szCs w:val="21"/>
              </w:rPr>
            </w:pPr>
            <w:r>
              <w:rPr>
                <w:rFonts w:hint="eastAsia" w:ascii="仿宋_GB2312" w:hAnsi="仿宋" w:eastAsia="仿宋_GB2312"/>
                <w:color w:val="000000" w:themeColor="text1"/>
                <w:kern w:val="0"/>
                <w:szCs w:val="21"/>
              </w:rPr>
              <w:t>（1）各供应商采购后，与采购人签订三年的采购合同，采购期满后，采购人根据服务满意度、成果文件等确定是否续签，具体要求以合同签订为主。 采购文件未约定的其他特殊情况，由双方协商解决。</w:t>
            </w:r>
          </w:p>
          <w:p w14:paraId="725696F7">
            <w:pPr>
              <w:spacing w:line="360" w:lineRule="auto"/>
              <w:ind w:firstLine="210" w:firstLineChars="100"/>
              <w:rPr>
                <w:rFonts w:ascii="仿宋_GB2312" w:hAnsi="仿宋" w:eastAsia="仿宋_GB2312"/>
                <w:color w:val="000000" w:themeColor="text1"/>
                <w:kern w:val="0"/>
                <w:szCs w:val="21"/>
              </w:rPr>
            </w:pPr>
            <w:r>
              <w:rPr>
                <w:rFonts w:hint="eastAsia" w:ascii="仿宋_GB2312" w:hAnsi="仿宋" w:eastAsia="仿宋_GB2312"/>
                <w:color w:val="000000" w:themeColor="text1"/>
                <w:kern w:val="0"/>
                <w:szCs w:val="21"/>
              </w:rPr>
              <w:t>（2）中选供应商签订合同后，由各学校进行选择具体服务的供应商，选定的供应商与学校签订补充合同。</w:t>
            </w:r>
          </w:p>
          <w:p w14:paraId="328A1378">
            <w:pPr>
              <w:spacing w:line="360" w:lineRule="auto"/>
              <w:ind w:firstLine="210" w:firstLineChars="100"/>
              <w:rPr>
                <w:rFonts w:ascii="仿宋_GB2312" w:hAnsi="仿宋" w:eastAsia="仿宋_GB2312"/>
                <w:color w:val="000000" w:themeColor="text1"/>
                <w:kern w:val="0"/>
                <w:szCs w:val="21"/>
              </w:rPr>
            </w:pPr>
            <w:r>
              <w:rPr>
                <w:rFonts w:hint="eastAsia" w:ascii="仿宋_GB2312" w:hAnsi="仿宋" w:eastAsia="仿宋_GB2312"/>
                <w:color w:val="000000" w:themeColor="text1"/>
                <w:kern w:val="0"/>
                <w:szCs w:val="21"/>
              </w:rPr>
              <w:t>（3）学校选择权限：各学校以学期为单位，在中选供应商范围内自主选择1家供应商。</w:t>
            </w:r>
          </w:p>
          <w:p w14:paraId="6964CAD9">
            <w:pPr>
              <w:spacing w:line="360" w:lineRule="auto"/>
              <w:ind w:firstLine="210" w:firstLineChars="100"/>
              <w:rPr>
                <w:rFonts w:ascii="仿宋_GB2312" w:hAnsi="仿宋" w:eastAsia="仿宋_GB2312"/>
                <w:color w:val="000000" w:themeColor="text1"/>
                <w:kern w:val="0"/>
                <w:szCs w:val="21"/>
              </w:rPr>
            </w:pPr>
            <w:r>
              <w:rPr>
                <w:rFonts w:hint="eastAsia" w:ascii="仿宋_GB2312" w:hAnsi="仿宋" w:eastAsia="仿宋_GB2312"/>
                <w:color w:val="000000" w:themeColor="text1"/>
                <w:kern w:val="0"/>
                <w:szCs w:val="21"/>
              </w:rPr>
              <w:t>（4）中选供应商由学校自主选择，中选供应商不得以学校规模、年度资金总和等因素拒绝学校选择，如有发生视为自动放弃中选资格，市教育局将移除中选资质。</w:t>
            </w:r>
          </w:p>
        </w:tc>
      </w:tr>
      <w:tr w14:paraId="3094790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817" w:type="dxa"/>
          </w:tcPr>
          <w:p w14:paraId="0F43AA42">
            <w:pPr>
              <w:pStyle w:val="13"/>
              <w:spacing w:line="360" w:lineRule="auto"/>
              <w:rPr>
                <w:rFonts w:hint="default" w:ascii="仿宋_GB2312" w:hAnsi="仿宋" w:eastAsia="仿宋_GB2312"/>
                <w:color w:val="000000" w:themeColor="text1"/>
                <w:sz w:val="21"/>
                <w:szCs w:val="21"/>
              </w:rPr>
            </w:pPr>
          </w:p>
        </w:tc>
        <w:tc>
          <w:tcPr>
            <w:tcW w:w="1559" w:type="dxa"/>
          </w:tcPr>
          <w:p w14:paraId="04CF4784">
            <w:pPr>
              <w:pStyle w:val="13"/>
              <w:spacing w:line="360" w:lineRule="auto"/>
              <w:rPr>
                <w:rFonts w:hint="default" w:ascii="仿宋_GB2312" w:hAnsi="仿宋" w:eastAsia="仿宋_GB2312"/>
                <w:color w:val="000000" w:themeColor="text1"/>
                <w:sz w:val="21"/>
                <w:szCs w:val="21"/>
              </w:rPr>
            </w:pPr>
          </w:p>
        </w:tc>
        <w:tc>
          <w:tcPr>
            <w:tcW w:w="1418" w:type="dxa"/>
          </w:tcPr>
          <w:p w14:paraId="74ED11EA">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供应商权责</w:t>
            </w:r>
          </w:p>
        </w:tc>
        <w:tc>
          <w:tcPr>
            <w:tcW w:w="5103" w:type="dxa"/>
          </w:tcPr>
          <w:p w14:paraId="469CA30C">
            <w:pPr>
              <w:spacing w:line="360" w:lineRule="auto"/>
              <w:ind w:firstLine="210" w:firstLineChars="100"/>
              <w:rPr>
                <w:rFonts w:ascii="仿宋_GB2312" w:hAnsi="仿宋" w:eastAsia="仿宋_GB2312"/>
                <w:color w:val="000000" w:themeColor="text1"/>
                <w:kern w:val="0"/>
                <w:szCs w:val="21"/>
              </w:rPr>
            </w:pPr>
            <w:r>
              <w:rPr>
                <w:rFonts w:hint="eastAsia" w:ascii="仿宋_GB2312" w:hAnsi="仿宋" w:eastAsia="仿宋_GB2312" w:cs="Times New Roman"/>
                <w:color w:val="000000" w:themeColor="text1"/>
                <w:kern w:val="0"/>
                <w:szCs w:val="21"/>
              </w:rPr>
              <w:t>供应商须严格遵守学校食堂经营相关法律法规，按采购提供经营资质并配合审查，采购期内在学校监督领导下管理运营、自负盈亏、独立核算；需做好卫生、防火、防盗、消防及食物中毒预防工作，服从管理，非餐厅工作人员（采购人员、专职监管人员除外）不得进入操作间，不得擅自改变房屋、厨房等设施使用功能（改建需经学校及相关部门批准），按学校作息要求按时供餐；用工须符合《中华人民共和国劳动合同法》并签正式合同，用工纠纷、人员伤亡及设备与操作人员安全事故均由其自行承担，工作人员校内住宿须遵守学校规定（违法犯罪则承担法律责任）；若经营违规被上级罚款，须向学校缴纳同等额度罚款，未按学校合理要求及时整改的将按合同约定处罚。</w:t>
            </w:r>
          </w:p>
        </w:tc>
      </w:tr>
      <w:tr w14:paraId="3E6BDCE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817" w:type="dxa"/>
          </w:tcPr>
          <w:p w14:paraId="06426795">
            <w:pPr>
              <w:pStyle w:val="13"/>
              <w:spacing w:line="360" w:lineRule="auto"/>
              <w:rPr>
                <w:rFonts w:hint="default" w:ascii="仿宋_GB2312" w:hAnsi="仿宋" w:eastAsia="仿宋_GB2312"/>
                <w:color w:val="000000" w:themeColor="text1"/>
                <w:sz w:val="21"/>
                <w:szCs w:val="21"/>
              </w:rPr>
            </w:pPr>
          </w:p>
        </w:tc>
        <w:tc>
          <w:tcPr>
            <w:tcW w:w="1559" w:type="dxa"/>
          </w:tcPr>
          <w:p w14:paraId="2FC8A838">
            <w:pPr>
              <w:pStyle w:val="13"/>
              <w:spacing w:line="360" w:lineRule="auto"/>
              <w:rPr>
                <w:rFonts w:hint="default" w:ascii="仿宋_GB2312" w:hAnsi="仿宋" w:eastAsia="仿宋_GB2312"/>
                <w:color w:val="000000" w:themeColor="text1"/>
                <w:sz w:val="21"/>
                <w:szCs w:val="21"/>
              </w:rPr>
            </w:pPr>
          </w:p>
        </w:tc>
        <w:tc>
          <w:tcPr>
            <w:tcW w:w="1418" w:type="dxa"/>
          </w:tcPr>
          <w:p w14:paraId="3FD9A099">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管理措施</w:t>
            </w:r>
          </w:p>
        </w:tc>
        <w:tc>
          <w:tcPr>
            <w:tcW w:w="5103" w:type="dxa"/>
          </w:tcPr>
          <w:p w14:paraId="584694C1">
            <w:pPr>
              <w:spacing w:line="360" w:lineRule="auto"/>
              <w:rPr>
                <w:rFonts w:ascii="仿宋_GB2312" w:hAnsi="仿宋" w:eastAsia="仿宋_GB2312" w:cs="Times New Roman"/>
                <w:color w:val="000000" w:themeColor="text1"/>
                <w:kern w:val="0"/>
                <w:szCs w:val="21"/>
              </w:rPr>
            </w:pPr>
            <w:r>
              <w:rPr>
                <w:rFonts w:hint="eastAsia" w:ascii="仿宋_GB2312" w:hAnsi="仿宋" w:eastAsia="仿宋_GB2312" w:cs="Times New Roman"/>
                <w:color w:val="000000" w:themeColor="text1"/>
                <w:kern w:val="0"/>
                <w:szCs w:val="21"/>
              </w:rPr>
              <w:t>（一）检查要求</w:t>
            </w:r>
          </w:p>
          <w:p w14:paraId="76AE2D36">
            <w:pPr>
              <w:spacing w:line="360" w:lineRule="auto"/>
              <w:rPr>
                <w:rFonts w:ascii="仿宋_GB2312" w:hAnsi="仿宋" w:eastAsia="仿宋_GB2312" w:cs="Times New Roman"/>
                <w:color w:val="000000" w:themeColor="text1"/>
                <w:kern w:val="0"/>
                <w:szCs w:val="21"/>
              </w:rPr>
            </w:pPr>
            <w:r>
              <w:rPr>
                <w:rFonts w:hint="eastAsia" w:ascii="仿宋_GB2312" w:hAnsi="仿宋" w:eastAsia="仿宋_GB2312" w:cs="Times New Roman"/>
                <w:color w:val="000000" w:themeColor="text1"/>
                <w:kern w:val="0"/>
                <w:szCs w:val="21"/>
              </w:rPr>
              <w:t>学校每日核查：安排后勤管理人员每日对食堂从业人员到岗情况（核对考勤表）、操作规范（检查食材清洗、烹饪温度、餐具消毒记录）进行核查，填写《每日监管记录表》，发现问题当日要求供应商整改。</w:t>
            </w:r>
          </w:p>
          <w:p w14:paraId="7886D9D8">
            <w:pPr>
              <w:spacing w:line="360" w:lineRule="auto"/>
              <w:rPr>
                <w:rFonts w:ascii="仿宋_GB2312" w:hAnsi="仿宋" w:eastAsia="仿宋_GB2312" w:cs="Times New Roman"/>
                <w:color w:val="000000" w:themeColor="text1"/>
                <w:kern w:val="0"/>
                <w:szCs w:val="21"/>
              </w:rPr>
            </w:pPr>
            <w:r>
              <w:rPr>
                <w:rFonts w:hint="eastAsia" w:ascii="仿宋_GB2312" w:hAnsi="仿宋" w:eastAsia="仿宋_GB2312" w:cs="Times New Roman"/>
                <w:color w:val="000000" w:themeColor="text1"/>
                <w:kern w:val="0"/>
                <w:szCs w:val="21"/>
              </w:rPr>
              <w:t>县（区）教育局每月抽查：每月随机抽取辖区内30%的学校（市直学校按归属地），通过现场检查、查阅台账、师生访谈等方式，检查服务质量，形成《月度抽查报告》，对问题学校及供应商进行通报。</w:t>
            </w:r>
          </w:p>
          <w:p w14:paraId="1A4C9979">
            <w:pPr>
              <w:spacing w:line="360" w:lineRule="auto"/>
              <w:rPr>
                <w:rFonts w:ascii="仿宋_GB2312" w:hAnsi="仿宋" w:eastAsia="仿宋_GB2312" w:cs="Times New Roman"/>
                <w:color w:val="000000" w:themeColor="text1"/>
                <w:kern w:val="0"/>
                <w:szCs w:val="21"/>
              </w:rPr>
            </w:pPr>
            <w:r>
              <w:rPr>
                <w:rFonts w:hint="eastAsia" w:ascii="仿宋_GB2312" w:hAnsi="仿宋" w:eastAsia="仿宋_GB2312" w:cs="Times New Roman"/>
                <w:color w:val="000000" w:themeColor="text1"/>
                <w:kern w:val="0"/>
                <w:szCs w:val="21"/>
              </w:rPr>
              <w:t>市教育局每季度评估：每季度组织专项评估，覆盖全市20%的学校，评估指标包括食品安全合规率、人员到岗率、师生满意度等，形成《季度评估报告》，评估结果全市通报。</w:t>
            </w:r>
            <w:r>
              <w:rPr>
                <w:rFonts w:hint="eastAsia" w:ascii="MS Mincho" w:hAnsi="MS Mincho" w:eastAsia="MS Mincho" w:cs="MS Mincho"/>
                <w:color w:val="000000" w:themeColor="text1"/>
                <w:kern w:val="0"/>
                <w:szCs w:val="21"/>
              </w:rPr>
              <w:t>​</w:t>
            </w:r>
          </w:p>
          <w:p w14:paraId="4A4CF710">
            <w:pPr>
              <w:spacing w:line="360" w:lineRule="auto"/>
              <w:rPr>
                <w:rFonts w:ascii="仿宋_GB2312" w:hAnsi="仿宋" w:eastAsia="仿宋_GB2312" w:cs="Times New Roman"/>
                <w:color w:val="000000" w:themeColor="text1"/>
                <w:kern w:val="0"/>
                <w:szCs w:val="21"/>
              </w:rPr>
            </w:pPr>
            <w:r>
              <w:rPr>
                <w:rFonts w:hint="eastAsia" w:ascii="仿宋_GB2312" w:hAnsi="仿宋" w:eastAsia="仿宋_GB2312" w:cs="Times New Roman"/>
                <w:color w:val="000000" w:themeColor="text1"/>
                <w:kern w:val="0"/>
                <w:szCs w:val="21"/>
              </w:rPr>
              <w:t>（二）供应商考核与退出机制</w:t>
            </w:r>
          </w:p>
          <w:p w14:paraId="15AB6C72">
            <w:pPr>
              <w:spacing w:line="360" w:lineRule="auto"/>
              <w:rPr>
                <w:rFonts w:ascii="仿宋_GB2312" w:hAnsi="仿宋" w:eastAsia="仿宋_GB2312" w:cs="Times New Roman"/>
                <w:color w:val="000000" w:themeColor="text1"/>
                <w:kern w:val="0"/>
                <w:szCs w:val="21"/>
              </w:rPr>
            </w:pPr>
            <w:r>
              <w:rPr>
                <w:rFonts w:hint="eastAsia" w:ascii="仿宋_GB2312" w:hAnsi="仿宋" w:eastAsia="仿宋_GB2312" w:cs="Times New Roman"/>
                <w:color w:val="000000" w:themeColor="text1"/>
                <w:kern w:val="0"/>
                <w:szCs w:val="21"/>
              </w:rPr>
              <w:t>考核结果应用：</w:t>
            </w:r>
            <w:r>
              <w:rPr>
                <w:rFonts w:hint="eastAsia" w:ascii="MS Mincho" w:hAnsi="MS Mincho" w:eastAsia="MS Mincho" w:cs="MS Mincho"/>
                <w:color w:val="000000" w:themeColor="text1"/>
                <w:kern w:val="0"/>
                <w:szCs w:val="21"/>
              </w:rPr>
              <w:t>​</w:t>
            </w:r>
          </w:p>
          <w:p w14:paraId="5198F155">
            <w:pPr>
              <w:spacing w:line="360" w:lineRule="auto"/>
              <w:rPr>
                <w:rFonts w:ascii="仿宋_GB2312" w:hAnsi="仿宋" w:eastAsia="仿宋_GB2312" w:cs="Times New Roman"/>
                <w:color w:val="000000" w:themeColor="text1"/>
                <w:kern w:val="0"/>
                <w:szCs w:val="21"/>
              </w:rPr>
            </w:pPr>
            <w:r>
              <w:rPr>
                <w:rFonts w:hint="eastAsia" w:ascii="仿宋_GB2312" w:hAnsi="仿宋" w:eastAsia="仿宋_GB2312" w:cs="Times New Roman"/>
                <w:color w:val="000000" w:themeColor="text1"/>
                <w:kern w:val="0"/>
                <w:szCs w:val="21"/>
              </w:rPr>
              <w:t>合格：得分≥80分，继续保留供应资格。</w:t>
            </w:r>
            <w:r>
              <w:rPr>
                <w:rFonts w:hint="eastAsia" w:ascii="MS Mincho" w:hAnsi="MS Mincho" w:eastAsia="MS Mincho" w:cs="MS Mincho"/>
                <w:color w:val="000000" w:themeColor="text1"/>
                <w:kern w:val="0"/>
                <w:szCs w:val="21"/>
              </w:rPr>
              <w:t>​</w:t>
            </w:r>
          </w:p>
          <w:p w14:paraId="5FC39E42">
            <w:pPr>
              <w:spacing w:line="360" w:lineRule="auto"/>
              <w:rPr>
                <w:rFonts w:ascii="仿宋_GB2312" w:hAnsi="仿宋" w:eastAsia="仿宋_GB2312" w:cs="Times New Roman"/>
                <w:color w:val="000000" w:themeColor="text1"/>
                <w:kern w:val="0"/>
                <w:szCs w:val="21"/>
              </w:rPr>
            </w:pPr>
            <w:r>
              <w:rPr>
                <w:rFonts w:hint="eastAsia" w:ascii="仿宋_GB2312" w:hAnsi="仿宋" w:eastAsia="仿宋_GB2312" w:cs="Times New Roman"/>
                <w:color w:val="000000" w:themeColor="text1"/>
                <w:kern w:val="0"/>
                <w:szCs w:val="21"/>
              </w:rPr>
              <w:t>整改：60分≤得分＜80分，下达整改通知书，限期15天整改，整改后复查合格方可继续供应。</w:t>
            </w:r>
          </w:p>
          <w:p w14:paraId="03D62E4D">
            <w:pPr>
              <w:spacing w:line="360" w:lineRule="auto"/>
              <w:rPr>
                <w:rFonts w:ascii="仿宋_GB2312" w:hAnsi="仿宋" w:eastAsia="仿宋_GB2312" w:cs="Times New Roman"/>
                <w:color w:val="000000" w:themeColor="text1"/>
                <w:kern w:val="0"/>
                <w:szCs w:val="21"/>
              </w:rPr>
            </w:pPr>
            <w:r>
              <w:rPr>
                <w:rFonts w:hint="eastAsia" w:ascii="仿宋_GB2312" w:hAnsi="仿宋" w:eastAsia="仿宋_GB2312" w:cs="Times New Roman"/>
                <w:color w:val="000000" w:themeColor="text1"/>
                <w:kern w:val="0"/>
                <w:szCs w:val="21"/>
              </w:rPr>
              <w:t>退出：得分＜60分（或连续2次整改不合格），立即取消供应资格，且3年内不得参与本溪市校园餐自有食堂餐饮服务管理项目。</w:t>
            </w:r>
            <w:r>
              <w:rPr>
                <w:rFonts w:hint="eastAsia" w:ascii="MS Mincho" w:hAnsi="MS Mincho" w:eastAsia="MS Mincho" w:cs="MS Mincho"/>
                <w:color w:val="000000" w:themeColor="text1"/>
                <w:kern w:val="0"/>
                <w:szCs w:val="21"/>
              </w:rPr>
              <w:t>​</w:t>
            </w:r>
          </w:p>
          <w:p w14:paraId="4FF042F9">
            <w:pPr>
              <w:spacing w:line="360" w:lineRule="auto"/>
              <w:rPr>
                <w:rFonts w:ascii="仿宋_GB2312" w:hAnsi="仿宋" w:eastAsia="仿宋_GB2312"/>
                <w:color w:val="000000" w:themeColor="text1"/>
                <w:kern w:val="0"/>
                <w:szCs w:val="21"/>
              </w:rPr>
            </w:pPr>
            <w:r>
              <w:rPr>
                <w:rFonts w:hint="eastAsia" w:ascii="仿宋_GB2312" w:hAnsi="仿宋" w:eastAsia="仿宋_GB2312" w:cs="Times New Roman"/>
                <w:color w:val="000000" w:themeColor="text1"/>
                <w:kern w:val="0"/>
                <w:szCs w:val="21"/>
              </w:rPr>
              <w:t>退出衔接：供应商退出后，市教育局第一时间通知相关学校，学校在中选供应商中重新选择，确保按时供餐。</w:t>
            </w:r>
          </w:p>
        </w:tc>
      </w:tr>
    </w:tbl>
    <w:p w14:paraId="33509691">
      <w:pPr>
        <w:pStyle w:val="13"/>
        <w:spacing w:line="360" w:lineRule="auto"/>
        <w:ind w:firstLine="840"/>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3)报价要求：</w:t>
      </w:r>
    </w:p>
    <w:tbl>
      <w:tblPr>
        <w:tblStyle w:val="9"/>
        <w:tblW w:w="8897" w:type="dxa"/>
        <w:tblInd w:w="0"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2253"/>
      </w:tblGrid>
      <w:tr w14:paraId="7004E22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1661" w:type="dxa"/>
          </w:tcPr>
          <w:p w14:paraId="52D4F374">
            <w:pPr>
              <w:pStyle w:val="13"/>
              <w:spacing w:line="360" w:lineRule="auto"/>
              <w:jc w:val="center"/>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报价内容</w:t>
            </w:r>
          </w:p>
        </w:tc>
        <w:tc>
          <w:tcPr>
            <w:tcW w:w="1661" w:type="dxa"/>
          </w:tcPr>
          <w:p w14:paraId="27B48CA1">
            <w:pPr>
              <w:pStyle w:val="13"/>
              <w:spacing w:line="360" w:lineRule="auto"/>
              <w:jc w:val="center"/>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计价单位</w:t>
            </w:r>
          </w:p>
        </w:tc>
        <w:tc>
          <w:tcPr>
            <w:tcW w:w="1661" w:type="dxa"/>
          </w:tcPr>
          <w:p w14:paraId="15D0D13F">
            <w:pPr>
              <w:pStyle w:val="13"/>
              <w:spacing w:line="360" w:lineRule="auto"/>
              <w:jc w:val="center"/>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供应商报价类型</w:t>
            </w:r>
          </w:p>
        </w:tc>
        <w:tc>
          <w:tcPr>
            <w:tcW w:w="1661" w:type="dxa"/>
          </w:tcPr>
          <w:p w14:paraId="2B014C5F">
            <w:pPr>
              <w:pStyle w:val="13"/>
              <w:spacing w:line="360" w:lineRule="auto"/>
              <w:jc w:val="center"/>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固定价格区间/</w:t>
            </w:r>
          </w:p>
        </w:tc>
        <w:tc>
          <w:tcPr>
            <w:tcW w:w="2253" w:type="dxa"/>
          </w:tcPr>
          <w:p w14:paraId="6F99680F">
            <w:pPr>
              <w:pStyle w:val="13"/>
              <w:spacing w:line="360" w:lineRule="auto"/>
              <w:jc w:val="center"/>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价格权重</w:t>
            </w:r>
          </w:p>
        </w:tc>
      </w:tr>
      <w:tr w14:paraId="404E1720">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1661" w:type="dxa"/>
          </w:tcPr>
          <w:p w14:paraId="5E8A35F4">
            <w:pPr>
              <w:pStyle w:val="13"/>
              <w:spacing w:line="360" w:lineRule="auto"/>
              <w:jc w:val="center"/>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报价明细</w:t>
            </w:r>
          </w:p>
        </w:tc>
        <w:tc>
          <w:tcPr>
            <w:tcW w:w="1661" w:type="dxa"/>
          </w:tcPr>
          <w:p w14:paraId="66495A31">
            <w:pPr>
              <w:pStyle w:val="13"/>
              <w:spacing w:line="360" w:lineRule="auto"/>
              <w:jc w:val="center"/>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w:t>
            </w:r>
          </w:p>
        </w:tc>
        <w:tc>
          <w:tcPr>
            <w:tcW w:w="1661" w:type="dxa"/>
          </w:tcPr>
          <w:p w14:paraId="5C53DED0">
            <w:pPr>
              <w:pStyle w:val="13"/>
              <w:spacing w:line="360" w:lineRule="auto"/>
              <w:jc w:val="center"/>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折扣率</w:t>
            </w:r>
          </w:p>
        </w:tc>
        <w:tc>
          <w:tcPr>
            <w:tcW w:w="1661" w:type="dxa"/>
          </w:tcPr>
          <w:p w14:paraId="23A4FC00">
            <w:pPr>
              <w:pStyle w:val="13"/>
              <w:spacing w:line="360" w:lineRule="auto"/>
              <w:jc w:val="center"/>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29%</w:t>
            </w:r>
          </w:p>
        </w:tc>
        <w:tc>
          <w:tcPr>
            <w:tcW w:w="2253" w:type="dxa"/>
          </w:tcPr>
          <w:p w14:paraId="27D97DA7">
            <w:pPr>
              <w:pStyle w:val="13"/>
              <w:spacing w:line="360" w:lineRule="auto"/>
              <w:jc w:val="center"/>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w:t>
            </w:r>
          </w:p>
        </w:tc>
      </w:tr>
    </w:tbl>
    <w:p w14:paraId="5F45252A">
      <w:pPr>
        <w:pStyle w:val="13"/>
        <w:spacing w:line="360" w:lineRule="auto"/>
        <w:outlineLvl w:val="1"/>
        <w:rPr>
          <w:rFonts w:hint="default" w:ascii="仿宋_GB2312" w:hAnsi="仿宋" w:eastAsia="仿宋_GB2312"/>
          <w:b/>
          <w:color w:val="000000" w:themeColor="text1"/>
          <w:sz w:val="21"/>
          <w:szCs w:val="21"/>
        </w:rPr>
      </w:pPr>
    </w:p>
    <w:p w14:paraId="1AA6E9CE">
      <w:pPr>
        <w:pStyle w:val="13"/>
        <w:spacing w:line="360" w:lineRule="auto"/>
        <w:jc w:val="center"/>
        <w:outlineLvl w:val="1"/>
        <w:rPr>
          <w:rFonts w:hint="default" w:ascii="仿宋_GB2312" w:hAnsi="仿宋" w:eastAsia="仿宋_GB2312"/>
          <w:b/>
          <w:color w:val="000000" w:themeColor="text1"/>
          <w:sz w:val="36"/>
          <w:szCs w:val="36"/>
        </w:rPr>
      </w:pPr>
    </w:p>
    <w:p w14:paraId="44CA8E86">
      <w:pPr>
        <w:pStyle w:val="13"/>
        <w:spacing w:line="360" w:lineRule="auto"/>
        <w:outlineLvl w:val="1"/>
        <w:rPr>
          <w:rFonts w:hint="default" w:ascii="仿宋_GB2312" w:hAnsi="仿宋" w:eastAsia="仿宋_GB2312"/>
          <w:b/>
          <w:color w:val="000000" w:themeColor="text1"/>
          <w:sz w:val="36"/>
          <w:szCs w:val="36"/>
        </w:rPr>
      </w:pPr>
    </w:p>
    <w:p w14:paraId="55CBC7B7">
      <w:pPr>
        <w:pStyle w:val="13"/>
        <w:spacing w:line="360" w:lineRule="auto"/>
        <w:outlineLvl w:val="1"/>
        <w:rPr>
          <w:rFonts w:hint="default" w:ascii="仿宋_GB2312" w:hAnsi="仿宋" w:eastAsia="仿宋_GB2312"/>
          <w:b/>
          <w:color w:val="000000" w:themeColor="text1"/>
          <w:sz w:val="36"/>
          <w:szCs w:val="36"/>
        </w:rPr>
      </w:pPr>
    </w:p>
    <w:p w14:paraId="7615DAE5">
      <w:pPr>
        <w:pStyle w:val="13"/>
        <w:spacing w:line="360" w:lineRule="auto"/>
        <w:outlineLvl w:val="1"/>
        <w:rPr>
          <w:rFonts w:hint="default" w:ascii="仿宋_GB2312" w:hAnsi="仿宋" w:eastAsia="仿宋_GB2312"/>
          <w:b/>
          <w:color w:val="000000" w:themeColor="text1"/>
          <w:sz w:val="36"/>
          <w:szCs w:val="36"/>
        </w:rPr>
      </w:pPr>
    </w:p>
    <w:p w14:paraId="6DC35EB9">
      <w:pPr>
        <w:pStyle w:val="13"/>
        <w:spacing w:line="360" w:lineRule="auto"/>
        <w:outlineLvl w:val="1"/>
        <w:rPr>
          <w:rFonts w:hint="default" w:ascii="仿宋_GB2312" w:hAnsi="仿宋" w:eastAsia="仿宋_GB2312"/>
          <w:b/>
          <w:color w:val="000000" w:themeColor="text1"/>
          <w:sz w:val="36"/>
          <w:szCs w:val="36"/>
        </w:rPr>
      </w:pPr>
    </w:p>
    <w:p w14:paraId="637859B8">
      <w:pPr>
        <w:pStyle w:val="13"/>
        <w:spacing w:line="360" w:lineRule="auto"/>
        <w:outlineLvl w:val="1"/>
        <w:rPr>
          <w:rFonts w:hint="default" w:ascii="仿宋_GB2312" w:hAnsi="仿宋" w:eastAsia="仿宋_GB2312"/>
          <w:b/>
          <w:color w:val="000000" w:themeColor="text1"/>
          <w:sz w:val="36"/>
          <w:szCs w:val="36"/>
        </w:rPr>
      </w:pPr>
    </w:p>
    <w:p w14:paraId="2592AE1E">
      <w:pPr>
        <w:pStyle w:val="13"/>
        <w:spacing w:line="360" w:lineRule="auto"/>
        <w:outlineLvl w:val="1"/>
        <w:rPr>
          <w:rFonts w:hint="default" w:ascii="仿宋_GB2312" w:hAnsi="仿宋" w:eastAsia="仿宋_GB2312"/>
          <w:b/>
          <w:color w:val="000000" w:themeColor="text1"/>
          <w:sz w:val="36"/>
          <w:szCs w:val="36"/>
        </w:rPr>
      </w:pPr>
    </w:p>
    <w:p w14:paraId="0D33B379">
      <w:pPr>
        <w:pStyle w:val="13"/>
        <w:spacing w:line="360" w:lineRule="auto"/>
        <w:jc w:val="center"/>
        <w:outlineLvl w:val="1"/>
        <w:rPr>
          <w:rFonts w:hint="default" w:ascii="仿宋_GB2312" w:hAnsi="仿宋" w:eastAsia="仿宋_GB2312"/>
          <w:color w:val="000000" w:themeColor="text1"/>
          <w:sz w:val="36"/>
          <w:szCs w:val="36"/>
        </w:rPr>
      </w:pPr>
      <w:r>
        <w:rPr>
          <w:rFonts w:ascii="仿宋_GB2312" w:hAnsi="仿宋" w:eastAsia="仿宋_GB2312"/>
          <w:b/>
          <w:color w:val="000000" w:themeColor="text1"/>
          <w:sz w:val="36"/>
          <w:szCs w:val="36"/>
        </w:rPr>
        <w:t xml:space="preserve">第四章 </w:t>
      </w:r>
      <w:r>
        <w:rPr>
          <w:rFonts w:hint="default" w:ascii="仿宋_GB2312" w:hAnsi="仿宋" w:eastAsia="仿宋_GB2312"/>
          <w:b/>
          <w:color w:val="000000" w:themeColor="text1"/>
          <w:sz w:val="36"/>
          <w:szCs w:val="36"/>
        </w:rPr>
        <w:t xml:space="preserve">  </w:t>
      </w:r>
      <w:r>
        <w:rPr>
          <w:rFonts w:ascii="仿宋_GB2312" w:hAnsi="仿宋" w:eastAsia="仿宋_GB2312"/>
          <w:b/>
          <w:color w:val="000000" w:themeColor="text1"/>
          <w:sz w:val="36"/>
          <w:szCs w:val="36"/>
        </w:rPr>
        <w:t>资格审查</w:t>
      </w:r>
    </w:p>
    <w:p w14:paraId="6B64FB4F">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评审委员会负责对响应供应商进行资格审查，出具资格审查报告。 资格审查标准及要求如下：</w:t>
      </w:r>
    </w:p>
    <w:p w14:paraId="732F0B11">
      <w:pPr>
        <w:pStyle w:val="13"/>
        <w:spacing w:line="360" w:lineRule="auto"/>
        <w:outlineLvl w:val="2"/>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4.1 一般资格审查</w:t>
      </w:r>
    </w:p>
    <w:p w14:paraId="023B9A81">
      <w:pPr>
        <w:pStyle w:val="13"/>
        <w:spacing w:line="360" w:lineRule="auto"/>
        <w:rPr>
          <w:rFonts w:hint="default" w:ascii="仿宋_GB2312" w:hAnsi="仿宋" w:eastAsia="仿宋_GB2312"/>
          <w:color w:val="000000" w:themeColor="text1"/>
          <w:sz w:val="21"/>
          <w:szCs w:val="21"/>
        </w:rPr>
      </w:pPr>
    </w:p>
    <w:tbl>
      <w:tblPr>
        <w:tblStyle w:val="9"/>
        <w:tblW w:w="9640" w:type="dxa"/>
        <w:tblInd w:w="-31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2"/>
        <w:gridCol w:w="2630"/>
        <w:gridCol w:w="3748"/>
        <w:gridCol w:w="2410"/>
      </w:tblGrid>
      <w:tr w14:paraId="0884B3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 w:type="dxa"/>
          </w:tcPr>
          <w:p w14:paraId="4A57B4E3">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序号</w:t>
            </w:r>
          </w:p>
        </w:tc>
        <w:tc>
          <w:tcPr>
            <w:tcW w:w="2630" w:type="dxa"/>
          </w:tcPr>
          <w:p w14:paraId="593A54F0">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资格审查要求概况</w:t>
            </w:r>
          </w:p>
        </w:tc>
        <w:tc>
          <w:tcPr>
            <w:tcW w:w="3748" w:type="dxa"/>
          </w:tcPr>
          <w:p w14:paraId="61F10F78">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评审点具体描述</w:t>
            </w:r>
          </w:p>
        </w:tc>
        <w:tc>
          <w:tcPr>
            <w:tcW w:w="2410" w:type="dxa"/>
          </w:tcPr>
          <w:p w14:paraId="77B907FB">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关联格式</w:t>
            </w:r>
          </w:p>
        </w:tc>
      </w:tr>
      <w:tr w14:paraId="73145E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 w:type="dxa"/>
          </w:tcPr>
          <w:p w14:paraId="650FE861">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1</w:t>
            </w:r>
          </w:p>
        </w:tc>
        <w:tc>
          <w:tcPr>
            <w:tcW w:w="2630" w:type="dxa"/>
          </w:tcPr>
          <w:p w14:paraId="5073FE0B">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营业执照或事业单位法人证书或自然人的身份证明复印件（自然人身份证明仅在自然人作为响应主体时适用）</w:t>
            </w:r>
          </w:p>
        </w:tc>
        <w:tc>
          <w:tcPr>
            <w:tcW w:w="3748" w:type="dxa"/>
          </w:tcPr>
          <w:p w14:paraId="587319FF">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1.按要求提供 2.合法有效</w:t>
            </w:r>
          </w:p>
        </w:tc>
        <w:tc>
          <w:tcPr>
            <w:tcW w:w="2410" w:type="dxa"/>
          </w:tcPr>
          <w:p w14:paraId="3F1A1002">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营业执照、单位法人证书或自然人的身份证明复印件</w:t>
            </w:r>
          </w:p>
        </w:tc>
      </w:tr>
      <w:tr w14:paraId="56A72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 w:type="dxa"/>
          </w:tcPr>
          <w:p w14:paraId="6C66B69E">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2</w:t>
            </w:r>
          </w:p>
        </w:tc>
        <w:tc>
          <w:tcPr>
            <w:tcW w:w="2630" w:type="dxa"/>
          </w:tcPr>
          <w:p w14:paraId="5A35C29F">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法定代表人（或非法人组织负责人）身份证明书（自然人响应的无需提供）</w:t>
            </w:r>
          </w:p>
        </w:tc>
        <w:tc>
          <w:tcPr>
            <w:tcW w:w="3748" w:type="dxa"/>
          </w:tcPr>
          <w:p w14:paraId="2947C2B2">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1.按给定格式填写 2.按规定签章</w:t>
            </w:r>
          </w:p>
        </w:tc>
        <w:tc>
          <w:tcPr>
            <w:tcW w:w="2410" w:type="dxa"/>
          </w:tcPr>
          <w:p w14:paraId="6F355825">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法定代表人（或非法人组织负责人）身份证明书</w:t>
            </w:r>
          </w:p>
        </w:tc>
      </w:tr>
      <w:tr w14:paraId="1C7AB8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 w:type="dxa"/>
          </w:tcPr>
          <w:p w14:paraId="3C166542">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3</w:t>
            </w:r>
          </w:p>
        </w:tc>
        <w:tc>
          <w:tcPr>
            <w:tcW w:w="2630" w:type="dxa"/>
          </w:tcPr>
          <w:p w14:paraId="37ED8DB6">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法定代表人（或非法人组织负责人）授权委托书（授权委托人参加响应的须提供）</w:t>
            </w:r>
          </w:p>
        </w:tc>
        <w:tc>
          <w:tcPr>
            <w:tcW w:w="3748" w:type="dxa"/>
          </w:tcPr>
          <w:p w14:paraId="2971252F">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1.按给定格式填写2.按规定签章</w:t>
            </w:r>
          </w:p>
        </w:tc>
        <w:tc>
          <w:tcPr>
            <w:tcW w:w="2410" w:type="dxa"/>
          </w:tcPr>
          <w:p w14:paraId="7765F6B1">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法定代表人（或非法人组织负责人）授权委托书</w:t>
            </w:r>
          </w:p>
        </w:tc>
      </w:tr>
      <w:tr w14:paraId="4CCAB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 w:type="dxa"/>
          </w:tcPr>
          <w:p w14:paraId="594FC60F">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4</w:t>
            </w:r>
          </w:p>
        </w:tc>
        <w:tc>
          <w:tcPr>
            <w:tcW w:w="2630" w:type="dxa"/>
          </w:tcPr>
          <w:p w14:paraId="5BF8C3AF">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具有良好的商业信誉和健全的财务会计制度的承诺函</w:t>
            </w:r>
          </w:p>
        </w:tc>
        <w:tc>
          <w:tcPr>
            <w:tcW w:w="3748" w:type="dxa"/>
          </w:tcPr>
          <w:p w14:paraId="39A8423C">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1.信息完整 2.按规定签章</w:t>
            </w:r>
          </w:p>
        </w:tc>
        <w:tc>
          <w:tcPr>
            <w:tcW w:w="2410" w:type="dxa"/>
          </w:tcPr>
          <w:p w14:paraId="2D3C67D0">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具有良好的商业信誉和健全的财务会计制度的承诺函</w:t>
            </w:r>
          </w:p>
        </w:tc>
      </w:tr>
      <w:tr w14:paraId="6C3215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 w:type="dxa"/>
          </w:tcPr>
          <w:p w14:paraId="013825C2">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5</w:t>
            </w:r>
          </w:p>
        </w:tc>
        <w:tc>
          <w:tcPr>
            <w:tcW w:w="2630" w:type="dxa"/>
          </w:tcPr>
          <w:p w14:paraId="40093D33">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采购时间前六个月内任一个月的依法缴纳税收的缴款凭据复印件 （注：依法免税的供应商，应提供相关证明材料，包括相关法规要求原文及加盖公章的情况说明）</w:t>
            </w:r>
          </w:p>
        </w:tc>
        <w:tc>
          <w:tcPr>
            <w:tcW w:w="3748" w:type="dxa"/>
          </w:tcPr>
          <w:p w14:paraId="5D062D29">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1.信息完整 2.按规定签章</w:t>
            </w:r>
          </w:p>
        </w:tc>
        <w:tc>
          <w:tcPr>
            <w:tcW w:w="2410" w:type="dxa"/>
          </w:tcPr>
          <w:p w14:paraId="2F2E88C6">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采购时间前六个月内任一个月的依法缴纳税收的缴款凭据复印件</w:t>
            </w:r>
          </w:p>
        </w:tc>
      </w:tr>
      <w:tr w14:paraId="187893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 w:type="dxa"/>
          </w:tcPr>
          <w:p w14:paraId="17F13DD0">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6</w:t>
            </w:r>
          </w:p>
        </w:tc>
        <w:tc>
          <w:tcPr>
            <w:tcW w:w="2630" w:type="dxa"/>
          </w:tcPr>
          <w:p w14:paraId="368829D4">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采购时间前六个月内任一个月的依法缴纳社会保障资金的缴款凭据复印件（注：依法不需要缴纳社会保障资金的供应商，应提供相关证明材料，包括相关法规要求原文及加盖公章的情况说明）</w:t>
            </w:r>
          </w:p>
        </w:tc>
        <w:tc>
          <w:tcPr>
            <w:tcW w:w="3748" w:type="dxa"/>
          </w:tcPr>
          <w:p w14:paraId="3A219270">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1.信息完整 2.按规定签章</w:t>
            </w:r>
          </w:p>
        </w:tc>
        <w:tc>
          <w:tcPr>
            <w:tcW w:w="2410" w:type="dxa"/>
          </w:tcPr>
          <w:p w14:paraId="7B0CEECC">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采购时间前六个月内任一个月的依法缴纳社会保障资金的缴款凭据复印件</w:t>
            </w:r>
          </w:p>
        </w:tc>
      </w:tr>
      <w:tr w14:paraId="41E38A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 w:type="dxa"/>
          </w:tcPr>
          <w:p w14:paraId="78EBC673">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7</w:t>
            </w:r>
          </w:p>
        </w:tc>
        <w:tc>
          <w:tcPr>
            <w:tcW w:w="2630" w:type="dxa"/>
          </w:tcPr>
          <w:p w14:paraId="32EE7E4E">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具备履行合同所必需的设备和专业技术能力声明函</w:t>
            </w:r>
          </w:p>
        </w:tc>
        <w:tc>
          <w:tcPr>
            <w:tcW w:w="3748" w:type="dxa"/>
          </w:tcPr>
          <w:p w14:paraId="15734D23">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1.格式自拟 2.按规定签章</w:t>
            </w:r>
          </w:p>
        </w:tc>
        <w:tc>
          <w:tcPr>
            <w:tcW w:w="2410" w:type="dxa"/>
          </w:tcPr>
          <w:p w14:paraId="04CC31B3">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具备履行合同所必需的设备和专业技术能力声明函</w:t>
            </w:r>
          </w:p>
        </w:tc>
      </w:tr>
      <w:tr w14:paraId="4920C0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 w:type="dxa"/>
          </w:tcPr>
          <w:p w14:paraId="61C0E892">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8</w:t>
            </w:r>
          </w:p>
        </w:tc>
        <w:tc>
          <w:tcPr>
            <w:tcW w:w="2630" w:type="dxa"/>
          </w:tcPr>
          <w:p w14:paraId="1773096F">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参加政府采购活动前3年内在经营活动中没有重大违法记录的书面声明</w:t>
            </w:r>
          </w:p>
        </w:tc>
        <w:tc>
          <w:tcPr>
            <w:tcW w:w="3748" w:type="dxa"/>
          </w:tcPr>
          <w:p w14:paraId="58DF5308">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1.格式自拟  2.按规定签章</w:t>
            </w:r>
          </w:p>
        </w:tc>
        <w:tc>
          <w:tcPr>
            <w:tcW w:w="2410" w:type="dxa"/>
          </w:tcPr>
          <w:p w14:paraId="26F5A2F6">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参加政府采购活动前3年内在经营活动中没有重大违法记录的书面声明</w:t>
            </w:r>
          </w:p>
        </w:tc>
      </w:tr>
      <w:tr w14:paraId="1D8026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 w:type="dxa"/>
          </w:tcPr>
          <w:p w14:paraId="04D0AB86">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9</w:t>
            </w:r>
          </w:p>
        </w:tc>
        <w:tc>
          <w:tcPr>
            <w:tcW w:w="2630" w:type="dxa"/>
          </w:tcPr>
          <w:p w14:paraId="1CEB4C7E">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信用记录（采购人或采购代理机构将按照采购采购文件规定的审查期间内进行查询）</w:t>
            </w:r>
          </w:p>
        </w:tc>
        <w:tc>
          <w:tcPr>
            <w:tcW w:w="3748" w:type="dxa"/>
          </w:tcPr>
          <w:p w14:paraId="485B27C2">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无供应商须知2.5.2所述的不良记录</w:t>
            </w:r>
          </w:p>
        </w:tc>
        <w:tc>
          <w:tcPr>
            <w:tcW w:w="2410" w:type="dxa"/>
          </w:tcPr>
          <w:p w14:paraId="76501FD4">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资格审查要求需要提供的其他材料（未给出格式的）</w:t>
            </w:r>
          </w:p>
        </w:tc>
      </w:tr>
      <w:tr w14:paraId="71021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 w:type="dxa"/>
          </w:tcPr>
          <w:p w14:paraId="07587074">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10</w:t>
            </w:r>
          </w:p>
        </w:tc>
        <w:tc>
          <w:tcPr>
            <w:tcW w:w="2630" w:type="dxa"/>
          </w:tcPr>
          <w:p w14:paraId="7EC575CC">
            <w:pPr>
              <w:adjustRightInd w:val="0"/>
              <w:snapToGrid w:val="0"/>
              <w:jc w:val="left"/>
              <w:rPr>
                <w:rFonts w:ascii="仿宋_GB2312" w:hAnsi="仿宋_GB2312" w:eastAsia="仿宋_GB2312" w:cs="仿宋_GB2312"/>
                <w:color w:val="000000" w:themeColor="text1"/>
                <w:szCs w:val="21"/>
              </w:rPr>
            </w:pPr>
            <w:r>
              <w:rPr>
                <w:rFonts w:ascii="仿宋_GB2312" w:hAnsi="仿宋_GB2312" w:eastAsia="仿宋_GB2312" w:cs="仿宋_GB2312"/>
                <w:color w:val="000000" w:themeColor="text1"/>
                <w:szCs w:val="21"/>
              </w:rPr>
              <w:t>特定资格</w:t>
            </w:r>
            <w:r>
              <w:rPr>
                <w:rFonts w:hint="eastAsia" w:ascii="仿宋_GB2312" w:hAnsi="仿宋_GB2312" w:eastAsia="仿宋_GB2312" w:cs="仿宋_GB2312"/>
                <w:color w:val="000000" w:themeColor="text1"/>
                <w:szCs w:val="21"/>
              </w:rPr>
              <w:t>证明文件（按采购公告要求）</w:t>
            </w:r>
          </w:p>
        </w:tc>
        <w:tc>
          <w:tcPr>
            <w:tcW w:w="3748" w:type="dxa"/>
          </w:tcPr>
          <w:p w14:paraId="72025C15">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1.格式自拟2.按规定签章</w:t>
            </w:r>
          </w:p>
        </w:tc>
        <w:tc>
          <w:tcPr>
            <w:tcW w:w="2410" w:type="dxa"/>
          </w:tcPr>
          <w:p w14:paraId="039E25BD">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资格审查要求需要提供的其他材料（未给出格式的）</w:t>
            </w:r>
          </w:p>
        </w:tc>
      </w:tr>
    </w:tbl>
    <w:p w14:paraId="540D3E09">
      <w:pPr>
        <w:pStyle w:val="13"/>
        <w:spacing w:line="360" w:lineRule="auto"/>
        <w:rPr>
          <w:rFonts w:hint="default" w:ascii="仿宋_GB2312" w:hAnsi="仿宋" w:eastAsia="仿宋_GB2312"/>
          <w:color w:val="000000" w:themeColor="text1"/>
          <w:sz w:val="21"/>
          <w:szCs w:val="21"/>
        </w:rPr>
      </w:pPr>
    </w:p>
    <w:p w14:paraId="0CC30FB9">
      <w:pPr>
        <w:pStyle w:val="13"/>
        <w:spacing w:line="360" w:lineRule="auto"/>
        <w:rPr>
          <w:rFonts w:hint="default" w:ascii="仿宋_GB2312" w:hAnsi="仿宋" w:eastAsia="仿宋_GB2312"/>
          <w:color w:val="000000" w:themeColor="text1"/>
          <w:sz w:val="21"/>
          <w:szCs w:val="21"/>
        </w:rPr>
      </w:pPr>
    </w:p>
    <w:p w14:paraId="0D259026">
      <w:pPr>
        <w:pStyle w:val="13"/>
        <w:spacing w:line="360" w:lineRule="auto"/>
        <w:rPr>
          <w:rFonts w:hint="default" w:ascii="仿宋_GB2312" w:hAnsi="仿宋" w:eastAsia="仿宋_GB2312"/>
          <w:color w:val="000000" w:themeColor="text1"/>
          <w:sz w:val="21"/>
          <w:szCs w:val="21"/>
        </w:rPr>
      </w:pPr>
    </w:p>
    <w:p w14:paraId="6AD7C4E6">
      <w:pPr>
        <w:pStyle w:val="13"/>
        <w:spacing w:line="360" w:lineRule="auto"/>
        <w:rPr>
          <w:rFonts w:hint="default" w:ascii="仿宋_GB2312" w:hAnsi="仿宋" w:eastAsia="仿宋_GB2312"/>
          <w:color w:val="000000" w:themeColor="text1"/>
          <w:sz w:val="21"/>
          <w:szCs w:val="21"/>
        </w:rPr>
      </w:pPr>
    </w:p>
    <w:p w14:paraId="56DDA1C1">
      <w:pPr>
        <w:pStyle w:val="13"/>
        <w:spacing w:line="360" w:lineRule="auto"/>
        <w:rPr>
          <w:rFonts w:hint="default" w:ascii="仿宋_GB2312" w:hAnsi="仿宋" w:eastAsia="仿宋_GB2312"/>
          <w:color w:val="000000" w:themeColor="text1"/>
          <w:sz w:val="21"/>
          <w:szCs w:val="21"/>
        </w:rPr>
      </w:pPr>
    </w:p>
    <w:p w14:paraId="701CFE28">
      <w:pPr>
        <w:pStyle w:val="13"/>
        <w:spacing w:line="360" w:lineRule="auto"/>
        <w:rPr>
          <w:rFonts w:hint="default" w:ascii="仿宋_GB2312" w:hAnsi="仿宋" w:eastAsia="仿宋_GB2312"/>
          <w:color w:val="000000" w:themeColor="text1"/>
          <w:sz w:val="21"/>
          <w:szCs w:val="21"/>
        </w:rPr>
      </w:pPr>
    </w:p>
    <w:p w14:paraId="25F65862">
      <w:pPr>
        <w:pStyle w:val="13"/>
        <w:spacing w:line="360" w:lineRule="auto"/>
        <w:rPr>
          <w:rFonts w:hint="default" w:ascii="仿宋_GB2312" w:hAnsi="仿宋" w:eastAsia="仿宋_GB2312"/>
          <w:color w:val="000000" w:themeColor="text1"/>
          <w:sz w:val="21"/>
          <w:szCs w:val="21"/>
        </w:rPr>
      </w:pPr>
    </w:p>
    <w:p w14:paraId="23B16FE6">
      <w:pPr>
        <w:pStyle w:val="13"/>
        <w:spacing w:line="360" w:lineRule="auto"/>
        <w:rPr>
          <w:rFonts w:hint="default" w:ascii="仿宋_GB2312" w:hAnsi="仿宋" w:eastAsia="仿宋_GB2312"/>
          <w:color w:val="000000" w:themeColor="text1"/>
          <w:sz w:val="21"/>
          <w:szCs w:val="21"/>
        </w:rPr>
      </w:pPr>
    </w:p>
    <w:p w14:paraId="687E228E">
      <w:pPr>
        <w:pStyle w:val="13"/>
        <w:spacing w:line="360" w:lineRule="auto"/>
        <w:jc w:val="center"/>
        <w:outlineLvl w:val="1"/>
        <w:rPr>
          <w:rFonts w:hint="default" w:ascii="仿宋_GB2312" w:hAnsi="仿宋" w:eastAsia="仿宋_GB2312"/>
          <w:color w:val="000000" w:themeColor="text1"/>
          <w:sz w:val="44"/>
          <w:szCs w:val="44"/>
        </w:rPr>
      </w:pPr>
      <w:r>
        <w:rPr>
          <w:rFonts w:ascii="仿宋_GB2312" w:hAnsi="仿宋" w:eastAsia="仿宋_GB2312"/>
          <w:b/>
          <w:color w:val="000000" w:themeColor="text1"/>
          <w:sz w:val="44"/>
          <w:szCs w:val="44"/>
        </w:rPr>
        <w:t>第五章   评审办法</w:t>
      </w:r>
    </w:p>
    <w:p w14:paraId="5A700D4E">
      <w:pPr>
        <w:pStyle w:val="13"/>
        <w:spacing w:line="360" w:lineRule="auto"/>
        <w:outlineLvl w:val="2"/>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5.1 总则</w:t>
      </w:r>
    </w:p>
    <w:p w14:paraId="04B7B312">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一、 结合本项目特点制定本评审办法。</w:t>
      </w:r>
    </w:p>
    <w:p w14:paraId="27E244EE">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二、 评审工作由采购人负责组织，具体评审事务由采购人依法组建的评审委员会负责。评审委员会由评审专家组成。</w:t>
      </w:r>
    </w:p>
    <w:p w14:paraId="0959389B">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三、 评审工作应遵循公平、公正、科学及择优的原则，并以相同的评审程序和标准对待所有的供应商。</w:t>
      </w:r>
    </w:p>
    <w:p w14:paraId="6F5ACF44">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四、评审过程应当独立、保密，任何单位和个人不得非法干预评审活动。供应商非法干预评审活动的，其响应文件将作无效处理；采购人及其工作人员非法干预评审活动的，将依法追究其责任。</w:t>
      </w:r>
    </w:p>
    <w:p w14:paraId="44F33665">
      <w:pPr>
        <w:pStyle w:val="13"/>
        <w:spacing w:line="360" w:lineRule="auto"/>
        <w:outlineLvl w:val="2"/>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5.2 评审委员会</w:t>
      </w:r>
    </w:p>
    <w:p w14:paraId="1D2C0996">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一、 评审专家7人组成。</w:t>
      </w:r>
    </w:p>
    <w:p w14:paraId="6207E04D">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二、 评审委员会成员应当满足评审的工作需要，确认身份、签到、推荐评审委员会组长。</w:t>
      </w:r>
    </w:p>
    <w:p w14:paraId="5ED92122">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三、 评审委员会成员获取纸质后的响应文件，开展评审活动。出现应当回避的情形时，评审委员会成员应当主动回避；采购人按规定申请补充抽取评审专家；无法及时补充抽取的，采购人应当封存供应商响应文件，按规定重新组建评审委员会，解封响应文件后，开展评审活动。</w:t>
      </w:r>
    </w:p>
    <w:p w14:paraId="67421B09">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四、 评审委员会按照采购文件规定的评审程序、评分方法和标准进行评审，并独立履行下列职责：</w:t>
      </w:r>
    </w:p>
    <w:p w14:paraId="115F1104">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(一) 熟悉和理解采购文件；</w:t>
      </w:r>
    </w:p>
    <w:p w14:paraId="285F74FC">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(二) 对符合资格的供应商的响应文件进行审查，以确定其是否满足采购文件的实质性要求；</w:t>
      </w:r>
    </w:p>
    <w:p w14:paraId="4318D490">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(三) 对有效供应商的响应文件进行比较和评价；</w:t>
      </w:r>
    </w:p>
    <w:p w14:paraId="0EFB5EB6">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(四) 根据需要要求采购人对采购文件作出解释；根据需要要求供应商对响应文件有关事项作出解释或者澄清；</w:t>
      </w:r>
    </w:p>
    <w:p w14:paraId="1B426C4B">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(五) 确定采购候选人名单；</w:t>
      </w:r>
    </w:p>
    <w:p w14:paraId="365FBF84">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(六) 起草评审报告并进行签署；</w:t>
      </w:r>
    </w:p>
    <w:p w14:paraId="322F1BE3">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(七) 向采购人或者财政、监察等有关部门报告或举报非法干预评审工作的行为；</w:t>
      </w:r>
    </w:p>
    <w:p w14:paraId="14FF9762">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(八) 向采购人或者有关部门报告评审中发现违法行为；</w:t>
      </w:r>
    </w:p>
    <w:p w14:paraId="70910B6F">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(九) 法律、法规和规章规定的其他职责。</w:t>
      </w:r>
    </w:p>
    <w:p w14:paraId="307DD413">
      <w:pPr>
        <w:pStyle w:val="13"/>
        <w:spacing w:line="360" w:lineRule="auto"/>
        <w:outlineLvl w:val="2"/>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5.3 评审方法</w:t>
      </w:r>
    </w:p>
    <w:tbl>
      <w:tblPr>
        <w:tblStyle w:val="9"/>
        <w:tblW w:w="751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7"/>
        <w:gridCol w:w="2126"/>
        <w:gridCol w:w="3969"/>
      </w:tblGrid>
      <w:tr w14:paraId="5E387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tcPr>
          <w:p w14:paraId="54F01E28">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评审方法</w:t>
            </w:r>
          </w:p>
        </w:tc>
        <w:tc>
          <w:tcPr>
            <w:tcW w:w="2126" w:type="dxa"/>
          </w:tcPr>
          <w:p w14:paraId="04A109E8">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供应商数量</w:t>
            </w:r>
          </w:p>
        </w:tc>
        <w:tc>
          <w:tcPr>
            <w:tcW w:w="3969" w:type="dxa"/>
          </w:tcPr>
          <w:p w14:paraId="3A85996D">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备注</w:t>
            </w:r>
          </w:p>
        </w:tc>
      </w:tr>
      <w:tr w14:paraId="527A5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tcPr>
          <w:p w14:paraId="1AC32B08">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综合评分法</w:t>
            </w:r>
          </w:p>
        </w:tc>
        <w:tc>
          <w:tcPr>
            <w:tcW w:w="2126" w:type="dxa"/>
          </w:tcPr>
          <w:p w14:paraId="163B5533">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5</w:t>
            </w:r>
          </w:p>
        </w:tc>
        <w:tc>
          <w:tcPr>
            <w:tcW w:w="3969" w:type="dxa"/>
          </w:tcPr>
          <w:p w14:paraId="32B4AF67">
            <w:pPr>
              <w:widowControl/>
              <w:spacing w:line="360" w:lineRule="auto"/>
              <w:rPr>
                <w:rFonts w:ascii="仿宋_GB2312" w:hAnsi="仿宋" w:eastAsia="仿宋_GB2312"/>
                <w:color w:val="000000" w:themeColor="text1"/>
                <w:kern w:val="0"/>
                <w:szCs w:val="21"/>
              </w:rPr>
            </w:pPr>
            <w:r>
              <w:rPr>
                <w:rFonts w:hint="eastAsia" w:ascii="仿宋_GB2312" w:hAnsi="仿宋" w:eastAsia="仿宋_GB2312"/>
                <w:color w:val="000000" w:themeColor="text1"/>
                <w:kern w:val="0"/>
                <w:szCs w:val="21"/>
              </w:rPr>
              <w:t>当出现并列情况时，按并列后排名前五位确定最终中选供应商。</w:t>
            </w:r>
          </w:p>
        </w:tc>
      </w:tr>
    </w:tbl>
    <w:p w14:paraId="5243EC85">
      <w:pPr>
        <w:pStyle w:val="13"/>
        <w:spacing w:line="360" w:lineRule="auto"/>
        <w:outlineLvl w:val="2"/>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5.4 评审程序</w:t>
      </w:r>
    </w:p>
    <w:p w14:paraId="615074F4">
      <w:pPr>
        <w:pStyle w:val="13"/>
        <w:spacing w:line="360" w:lineRule="auto"/>
        <w:outlineLvl w:val="3"/>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5.4.1 熟悉和理解采购文件、停止评审</w:t>
      </w:r>
    </w:p>
    <w:p w14:paraId="69B381DA">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一、评审委员会正式评审前，应当对采购文件进行熟悉和理解，内容主要包括采购文件中供应商资格资质性要求、采购项目技术、服务和商务要求、评审方法和标准以及可能涉及签订采购的内容等。</w:t>
      </w:r>
    </w:p>
    <w:p w14:paraId="43CF23A5">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二、本采购文件有下列情形之一的，评审委员会应当停止评审：</w:t>
      </w:r>
    </w:p>
    <w:p w14:paraId="30385588">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（一）采购文件的规定存在歧义、重大缺陷的，导致评审无法进行的；</w:t>
      </w:r>
    </w:p>
    <w:p w14:paraId="490C71F4">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（二）采购文件明显以不合理条件对供应商实行差别待遇或者歧视待遇的；</w:t>
      </w:r>
    </w:p>
    <w:p w14:paraId="4658EED5">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（三）项目属于国家规定的优先、强制采购范围，但是采购文件未依法体现优先、强制采购相关规定的；</w:t>
      </w:r>
    </w:p>
    <w:p w14:paraId="06A12080">
      <w:pPr>
        <w:pStyle w:val="13"/>
        <w:spacing w:line="360" w:lineRule="auto"/>
        <w:outlineLvl w:val="3"/>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5.4.2 符合性审查</w:t>
      </w:r>
    </w:p>
    <w:p w14:paraId="05470822">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评审委员会依据本采购文件的实质性要求，对符合资格的响应文件进行审查，以确定其是否满足本采购文件的实质性要求。本项目符合性审查事项，必须以本采购文件明确规定的实质性要求作为依据。</w:t>
      </w:r>
    </w:p>
    <w:p w14:paraId="78460589">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在符合性审查过程中，如果出现评审委员会成员意见不一致的情况，按照少数服从多数的原则确定，但不得违背政府采购基本原则和采购文件规定。</w:t>
      </w:r>
    </w:p>
    <w:p w14:paraId="63620B15">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符合性审查标准见下表（按以下顺序审查）：</w:t>
      </w:r>
      <w:r>
        <w:rPr>
          <w:rFonts w:ascii="仿宋_GB2312" w:hAnsi="仿宋" w:eastAsia="仿宋_GB2312"/>
          <w:color w:val="000000" w:themeColor="text1"/>
          <w:sz w:val="21"/>
          <w:szCs w:val="21"/>
        </w:rPr>
        <w:br w:type="textWrapping"/>
      </w:r>
    </w:p>
    <w:p w14:paraId="3492B5B1">
      <w:pPr>
        <w:pStyle w:val="13"/>
        <w:spacing w:line="360" w:lineRule="auto"/>
        <w:rPr>
          <w:rFonts w:hint="default" w:ascii="仿宋_GB2312" w:hAnsi="仿宋" w:eastAsia="仿宋_GB2312"/>
          <w:color w:val="000000" w:themeColor="text1"/>
          <w:sz w:val="21"/>
          <w:szCs w:val="21"/>
        </w:rPr>
      </w:pP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1"/>
        <w:gridCol w:w="2373"/>
        <w:gridCol w:w="3164"/>
        <w:gridCol w:w="1978"/>
      </w:tblGrid>
      <w:tr w14:paraId="11347D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1" w:type="dxa"/>
          </w:tcPr>
          <w:p w14:paraId="03E4C874">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序号</w:t>
            </w:r>
          </w:p>
        </w:tc>
        <w:tc>
          <w:tcPr>
            <w:tcW w:w="2373" w:type="dxa"/>
          </w:tcPr>
          <w:p w14:paraId="441B52D8">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评审点要求概况</w:t>
            </w:r>
          </w:p>
        </w:tc>
        <w:tc>
          <w:tcPr>
            <w:tcW w:w="3164" w:type="dxa"/>
          </w:tcPr>
          <w:p w14:paraId="7A638E57">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评审点具体描述</w:t>
            </w:r>
          </w:p>
        </w:tc>
        <w:tc>
          <w:tcPr>
            <w:tcW w:w="1978" w:type="dxa"/>
          </w:tcPr>
          <w:p w14:paraId="5F82E0CE">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关联格式</w:t>
            </w:r>
          </w:p>
        </w:tc>
      </w:tr>
      <w:tr w14:paraId="5B1B7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1" w:type="dxa"/>
          </w:tcPr>
          <w:p w14:paraId="35C77798">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1</w:t>
            </w:r>
          </w:p>
        </w:tc>
        <w:tc>
          <w:tcPr>
            <w:tcW w:w="2373" w:type="dxa"/>
          </w:tcPr>
          <w:p w14:paraId="70CA7DFF">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响应函</w:t>
            </w:r>
          </w:p>
        </w:tc>
        <w:tc>
          <w:tcPr>
            <w:tcW w:w="3164" w:type="dxa"/>
          </w:tcPr>
          <w:p w14:paraId="580D3F64">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1.按给定格式填写 2.响应采购文件实质性要求3.按规定签章</w:t>
            </w:r>
          </w:p>
        </w:tc>
        <w:tc>
          <w:tcPr>
            <w:tcW w:w="1978" w:type="dxa"/>
          </w:tcPr>
          <w:p w14:paraId="3FE60632">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响应函</w:t>
            </w:r>
          </w:p>
        </w:tc>
      </w:tr>
      <w:tr w14:paraId="2CFBE0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1" w:type="dxa"/>
          </w:tcPr>
          <w:p w14:paraId="091F4406">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2</w:t>
            </w:r>
          </w:p>
        </w:tc>
        <w:tc>
          <w:tcPr>
            <w:tcW w:w="2373" w:type="dxa"/>
          </w:tcPr>
          <w:p w14:paraId="28AC0B8C">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服务价格明细表</w:t>
            </w:r>
          </w:p>
        </w:tc>
        <w:tc>
          <w:tcPr>
            <w:tcW w:w="3164" w:type="dxa"/>
          </w:tcPr>
          <w:p w14:paraId="38DAEBDA">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1.按给定格式填写 2.响应采购文件实质性要求 3.按规定签章</w:t>
            </w:r>
          </w:p>
        </w:tc>
        <w:tc>
          <w:tcPr>
            <w:tcW w:w="1978" w:type="dxa"/>
          </w:tcPr>
          <w:p w14:paraId="1DB4C31C">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服务价格明细表</w:t>
            </w:r>
          </w:p>
        </w:tc>
      </w:tr>
      <w:tr w14:paraId="73CCE1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1" w:type="dxa"/>
          </w:tcPr>
          <w:p w14:paraId="13F71624">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3</w:t>
            </w:r>
          </w:p>
        </w:tc>
        <w:tc>
          <w:tcPr>
            <w:tcW w:w="2373" w:type="dxa"/>
          </w:tcPr>
          <w:p w14:paraId="0437511D">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服务需求响应表</w:t>
            </w:r>
          </w:p>
        </w:tc>
        <w:tc>
          <w:tcPr>
            <w:tcW w:w="3164" w:type="dxa"/>
          </w:tcPr>
          <w:p w14:paraId="2E8ED368">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1.按给定格式及填表要求填写 2.响应采购文件实质性要求 3.按规定签章</w:t>
            </w:r>
          </w:p>
        </w:tc>
        <w:tc>
          <w:tcPr>
            <w:tcW w:w="1978" w:type="dxa"/>
          </w:tcPr>
          <w:p w14:paraId="7C8E5D7D">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服务需求响应表</w:t>
            </w:r>
          </w:p>
        </w:tc>
      </w:tr>
      <w:tr w14:paraId="5140AA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1" w:type="dxa"/>
          </w:tcPr>
          <w:p w14:paraId="5C7FD4ED">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4</w:t>
            </w:r>
          </w:p>
        </w:tc>
        <w:tc>
          <w:tcPr>
            <w:tcW w:w="2373" w:type="dxa"/>
          </w:tcPr>
          <w:p w14:paraId="12DB2E45">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商务条款偏离表</w:t>
            </w:r>
          </w:p>
        </w:tc>
        <w:tc>
          <w:tcPr>
            <w:tcW w:w="3164" w:type="dxa"/>
          </w:tcPr>
          <w:p w14:paraId="4A484200">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1.按给定格式及填表要求填写 2.响应采购文件实质性要求 3.按规定签章</w:t>
            </w:r>
          </w:p>
        </w:tc>
        <w:tc>
          <w:tcPr>
            <w:tcW w:w="1978" w:type="dxa"/>
          </w:tcPr>
          <w:p w14:paraId="5F8E4F6D">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商务条款偏离表</w:t>
            </w:r>
          </w:p>
        </w:tc>
      </w:tr>
    </w:tbl>
    <w:p w14:paraId="58AC7BC2">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以上实质性要求全部响应并满足采购需求的，则通过符合性审查；如有任意一项结论未响应或不满足采购需求的，则按无效响应文件处理。如果评审委员会认为供应商有任意一项不通过的，应在评审报告中载明不通过的具体原因。</w:t>
      </w:r>
    </w:p>
    <w:p w14:paraId="0E86F278">
      <w:pPr>
        <w:pStyle w:val="13"/>
        <w:spacing w:line="360" w:lineRule="auto"/>
        <w:outlineLvl w:val="3"/>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5.4.3 解释、澄清有关问题</w:t>
      </w:r>
    </w:p>
    <w:p w14:paraId="077050B4">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一、评审过程中，评审委员会认为采购文件有关事项表述不明确或需要说明的，可以提请采购人做出解释。采购人的解释不得改变采购文件的原义或者影响公平、公正，解释事项如果涉及供应商权益的以有利于供应商的原则进行解释。</w:t>
      </w:r>
    </w:p>
    <w:p w14:paraId="0321A469">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二、对响应文件中含义不明确、同类问题表述不一致或者有明显文字和计算错误的内容，评审委员会应当要求供应商作出必要的澄清、说明或更正，并给予供应商必要的反馈时间。供应商应当按评审委员会的要求进行澄清、说明或者更正。供应商的澄清、说明或者更正不得超出响应文件的范围或者改变响应文件的实质性内容。澄清、说明或者更正不影响响应文件的效力，有效的澄清、说明或者更正材料是响应文件的组成部分。</w:t>
      </w:r>
    </w:p>
    <w:p w14:paraId="058825B1">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三、供应商的澄清、说明或者更正需进行电子签章，应当不超出响应文件的范围、不实质性改变响应文件的内容、不影响供应商的公平竞争、不导致响应文件从不响应采购文件变为响应采购文件的条件。下列内容不得澄清：</w:t>
      </w:r>
    </w:p>
    <w:p w14:paraId="1F7FADFD">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(一)供应商响应文件中不响应采购文件规定的技术参数指标和商务应答；</w:t>
      </w:r>
    </w:p>
    <w:p w14:paraId="7545261E">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(二)供应商响应文件中未提供的证明其是否符合采购文件资格性、符合性规定要求的相关材料。</w:t>
      </w:r>
    </w:p>
    <w:p w14:paraId="5A827486">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(三)供应商响应文件中的材料因印刷、影印等不清晰而难以辨认的。</w:t>
      </w:r>
    </w:p>
    <w:p w14:paraId="40285C55">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四、响应文件报价出现下列情况的，按以下原则处理：</w:t>
      </w:r>
    </w:p>
    <w:p w14:paraId="32BB5C51">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（一）响应文件中响应报价表内容与响应文件中相应内容不一致的，以响应报价表为准；</w:t>
      </w:r>
    </w:p>
    <w:p w14:paraId="16542F5A">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（二）大写金额和小写金额不一致的，以大写金额为准，但大写金额出现文字错误，导致金额无法判断的除外；</w:t>
      </w:r>
    </w:p>
    <w:p w14:paraId="1B67A092">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（三）单价金额小数点或者百分比有明显错位的，以响应报价表中的报价为准。</w:t>
      </w:r>
    </w:p>
    <w:p w14:paraId="7BCB5137">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同时出现两种以上不一致的，按照前款规定的顺序修正。修正后的报价经供应商确认后产生约束力，供应商不确认的，其响应无效。</w:t>
      </w:r>
    </w:p>
    <w:p w14:paraId="6E9F35C0">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五、对不同语言文本响应文件的解释发生异议的，以中文文本为准。</w:t>
      </w:r>
    </w:p>
    <w:p w14:paraId="25EE61F7">
      <w:pPr>
        <w:pStyle w:val="13"/>
        <w:spacing w:line="360" w:lineRule="auto"/>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评审委员会应当积极履行澄清、说明或者更正的职责，不得滥用权力。</w:t>
      </w:r>
    </w:p>
    <w:p w14:paraId="72576F32">
      <w:pPr>
        <w:pStyle w:val="13"/>
        <w:spacing w:line="360" w:lineRule="auto"/>
        <w:outlineLvl w:val="3"/>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5.4.4 比较与评价</w:t>
      </w:r>
    </w:p>
    <w:p w14:paraId="222A8016">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按采购文件中规定的评审细则及标准，对符合性审查合格的响应文件进行商务和技术评估，综合比较和评价。</w:t>
      </w:r>
    </w:p>
    <w:p w14:paraId="5CD81E47">
      <w:pPr>
        <w:pStyle w:val="13"/>
        <w:spacing w:line="360" w:lineRule="auto"/>
        <w:outlineLvl w:val="3"/>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5.4.5 确定中选供应商名单</w:t>
      </w:r>
    </w:p>
    <w:p w14:paraId="645BDA13">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综合评分法</w:t>
      </w:r>
    </w:p>
    <w:p w14:paraId="4221BE4D">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对满足采购需求且响应报价不超过最高限制单价的货物、服务进行质量综合评分，按照质量评分从高到低排序，根据采购文件规定的淘汰率或者中选供应商数量上限，确定中选供应商。货物项目质量因素包括采购标的的技术水平、产品配置、售后服务等。 服务项目质量因素包括服务内容、服务水平、供应商的履约能力、服务经验等。</w:t>
      </w:r>
    </w:p>
    <w:p w14:paraId="5354D9A8">
      <w:pPr>
        <w:pStyle w:val="13"/>
        <w:spacing w:line="360" w:lineRule="auto"/>
        <w:outlineLvl w:val="3"/>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5.4.6 编写评审报告</w:t>
      </w:r>
    </w:p>
    <w:p w14:paraId="7DF42904">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评审报告是评审委员会根据全体评审成员签字的评审记录和评审结果编写的报告，其主要内容包括：</w:t>
      </w:r>
    </w:p>
    <w:p w14:paraId="3EE26104">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一、采购公告刊登的媒体名称、开启日期和地点；</w:t>
      </w:r>
    </w:p>
    <w:p w14:paraId="1A80D440">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二、响应供应商名单和评审委员会成员名单；</w:t>
      </w:r>
    </w:p>
    <w:p w14:paraId="4B34F3D0">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三、评审方法和标准；</w:t>
      </w:r>
    </w:p>
    <w:p w14:paraId="424FB0F3">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四、开启记录和评审情况及说明，包括响应无效供应商名单及原因；</w:t>
      </w:r>
    </w:p>
    <w:p w14:paraId="6D2AEA14">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五、评审结果，确定的中选供应商名单；</w:t>
      </w:r>
    </w:p>
    <w:p w14:paraId="13037A9D">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六、其他需要说明的情况，包括评审过程中供应商根据评审委员会要求进行的澄清、说明或者补正，评审委员会成员的更换等。</w:t>
      </w:r>
    </w:p>
    <w:p w14:paraId="5C654D4E">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评审委员会成员应当在评审报告中签字确认，对评审过程和结果有不同意见的，应当在评审报告中写明并说明理由。签字但未写明不同意见或者未说明理由的，视同无意见。拒不签字又未另行书面说明其不同意见和理由的，视同同意评审结果。</w:t>
      </w:r>
    </w:p>
    <w:p w14:paraId="439CCE99">
      <w:pPr>
        <w:pStyle w:val="13"/>
        <w:spacing w:line="360" w:lineRule="auto"/>
        <w:outlineLvl w:val="2"/>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5.5 评审争议处理规则</w:t>
      </w:r>
    </w:p>
    <w:p w14:paraId="43840EED">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评审委员会在评审过程中，对于符合性审查、对响应文件做无效响应处理及其他需要共同认定的事项存在争议的，应当以全体一致的原则做出结论，但不得违背法律法规和采购文件规定。持不同意见的评审委员会成员应当在评审报告上签署不同意见及理由，否则视为同意评审报告。持不同意见的评审委员会成员认为认定过程和结果不符合法律法规或者采购文件规定的，应当及时向采购人书面反映。采购人收到书面反映后，对存在的违法违规问题应当书面报告采购项目同级财政部门。</w:t>
      </w:r>
    </w:p>
    <w:p w14:paraId="6898C362">
      <w:pPr>
        <w:pStyle w:val="13"/>
        <w:spacing w:line="360" w:lineRule="auto"/>
        <w:outlineLvl w:val="2"/>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5.6评审细则及标准</w:t>
      </w:r>
    </w:p>
    <w:p w14:paraId="47C93DE3">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一、评审委员会只对通过资格性、符合性审查的响应文件，根据采购文件的要求采用相同的评审程序、评审标准/评分办法进行评价和比较。</w:t>
      </w:r>
    </w:p>
    <w:p w14:paraId="7B9AB204">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二、评审委员会成员应依据采购文件规定的评审标准/评分办法独立评审。</w:t>
      </w:r>
    </w:p>
    <w:p w14:paraId="0B1F3FBC">
      <w:pPr>
        <w:pStyle w:val="13"/>
        <w:spacing w:line="360" w:lineRule="auto"/>
        <w:outlineLvl w:val="3"/>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5.6.1 综合评分法</w:t>
      </w:r>
    </w:p>
    <w:p w14:paraId="643329D2">
      <w:pPr>
        <w:pStyle w:val="13"/>
        <w:spacing w:line="360" w:lineRule="auto"/>
        <w:rPr>
          <w:rFonts w:hint="default" w:ascii="仿宋_GB2312" w:hAnsi="仿宋" w:eastAsia="仿宋_GB2312"/>
          <w:color w:val="000000" w:themeColor="text1"/>
          <w:sz w:val="21"/>
          <w:szCs w:val="21"/>
        </w:rPr>
      </w:pPr>
      <w:r>
        <w:rPr>
          <w:rFonts w:ascii="仿宋_GB2312" w:hAnsi="仿宋" w:eastAsia="仿宋_GB2312" w:cs="Times New Roman"/>
          <w:color w:val="000000" w:themeColor="text1"/>
          <w:sz w:val="21"/>
          <w:szCs w:val="21"/>
        </w:rPr>
        <w:t>综合评分法，是指投标文件满足招标文件全部实质性要求，且按照评审因素的量化指标评审得分最高的投标人为中选候选人的评标方法</w:t>
      </w:r>
      <w:r>
        <w:rPr>
          <w:rFonts w:ascii="仿宋_GB2312" w:hAnsi="仿宋" w:eastAsia="仿宋_GB2312"/>
          <w:color w:val="000000" w:themeColor="text1"/>
          <w:sz w:val="21"/>
          <w:szCs w:val="21"/>
        </w:rPr>
        <w:t>。</w:t>
      </w:r>
    </w:p>
    <w:p w14:paraId="7F2B2CE8">
      <w:pPr>
        <w:pStyle w:val="13"/>
        <w:spacing w:line="360" w:lineRule="auto"/>
        <w:outlineLvl w:val="3"/>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5.6.2 评分标准</w:t>
      </w:r>
    </w:p>
    <w:tbl>
      <w:tblPr>
        <w:tblStyle w:val="9"/>
        <w:tblpPr w:leftFromText="180" w:rightFromText="180" w:vertAnchor="text" w:horzAnchor="margin" w:tblpXSpec="center" w:tblpY="10"/>
        <w:tblW w:w="8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238"/>
        <w:gridCol w:w="5289"/>
        <w:gridCol w:w="915"/>
      </w:tblGrid>
      <w:tr w14:paraId="119469F5">
        <w:tblPrEx>
          <w:tblCellMar>
            <w:top w:w="0" w:type="dxa"/>
            <w:left w:w="108" w:type="dxa"/>
            <w:bottom w:w="0" w:type="dxa"/>
            <w:right w:w="108" w:type="dxa"/>
          </w:tblCellMar>
        </w:tblPrEx>
        <w:trPr>
          <w:trHeight w:val="530" w:hRule="atLeast"/>
        </w:trPr>
        <w:tc>
          <w:tcPr>
            <w:tcW w:w="1232" w:type="dxa"/>
            <w:tcBorders>
              <w:top w:val="single" w:color="auto" w:sz="4" w:space="0"/>
              <w:left w:val="single" w:color="auto" w:sz="4" w:space="0"/>
              <w:bottom w:val="single" w:color="auto" w:sz="4" w:space="0"/>
              <w:right w:val="single" w:color="auto" w:sz="4" w:space="0"/>
            </w:tcBorders>
            <w:noWrap/>
            <w:vAlign w:val="center"/>
          </w:tcPr>
          <w:p w14:paraId="2BD301A8">
            <w:pPr>
              <w:widowControl/>
              <w:adjustRightInd w:val="0"/>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项目</w:t>
            </w:r>
          </w:p>
        </w:tc>
        <w:tc>
          <w:tcPr>
            <w:tcW w:w="1238" w:type="dxa"/>
            <w:tcBorders>
              <w:top w:val="single" w:color="auto" w:sz="4" w:space="0"/>
              <w:left w:val="single" w:color="auto" w:sz="4" w:space="0"/>
              <w:bottom w:val="single" w:color="auto" w:sz="4" w:space="0"/>
              <w:right w:val="single" w:color="auto" w:sz="4" w:space="0"/>
            </w:tcBorders>
            <w:noWrap/>
            <w:vAlign w:val="center"/>
          </w:tcPr>
          <w:p w14:paraId="76E7FA25">
            <w:pPr>
              <w:widowControl/>
              <w:adjustRightInd w:val="0"/>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分项名称</w:t>
            </w:r>
          </w:p>
        </w:tc>
        <w:tc>
          <w:tcPr>
            <w:tcW w:w="5289" w:type="dxa"/>
            <w:tcBorders>
              <w:top w:val="single" w:color="auto" w:sz="4" w:space="0"/>
              <w:left w:val="single" w:color="auto" w:sz="4" w:space="0"/>
              <w:bottom w:val="single" w:color="auto" w:sz="4" w:space="0"/>
              <w:right w:val="single" w:color="auto" w:sz="4" w:space="0"/>
            </w:tcBorders>
            <w:noWrap/>
            <w:vAlign w:val="center"/>
          </w:tcPr>
          <w:p w14:paraId="72DEFF50">
            <w:pPr>
              <w:widowControl/>
              <w:adjustRightInd w:val="0"/>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评分标准</w:t>
            </w:r>
          </w:p>
        </w:tc>
        <w:tc>
          <w:tcPr>
            <w:tcW w:w="915" w:type="dxa"/>
            <w:tcBorders>
              <w:top w:val="single" w:color="auto" w:sz="4" w:space="0"/>
              <w:left w:val="single" w:color="auto" w:sz="4" w:space="0"/>
              <w:bottom w:val="single" w:color="auto" w:sz="4" w:space="0"/>
              <w:right w:val="single" w:color="auto" w:sz="4" w:space="0"/>
            </w:tcBorders>
            <w:noWrap/>
            <w:vAlign w:val="center"/>
          </w:tcPr>
          <w:p w14:paraId="6576B55D">
            <w:pPr>
              <w:widowControl/>
              <w:adjustRightInd w:val="0"/>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满分</w:t>
            </w:r>
          </w:p>
        </w:tc>
      </w:tr>
      <w:tr w14:paraId="3299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32" w:type="dxa"/>
            <w:vMerge w:val="restart"/>
            <w:tcBorders>
              <w:top w:val="single" w:color="auto" w:sz="4" w:space="0"/>
              <w:left w:val="single" w:color="auto" w:sz="4" w:space="0"/>
              <w:bottom w:val="single" w:color="auto" w:sz="4" w:space="0"/>
              <w:right w:val="single" w:color="auto" w:sz="4" w:space="0"/>
            </w:tcBorders>
            <w:noWrap/>
            <w:vAlign w:val="center"/>
          </w:tcPr>
          <w:p w14:paraId="728FED61">
            <w:pPr>
              <w:widowControl/>
              <w:adjustRightInd w:val="0"/>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技术部分</w:t>
            </w:r>
          </w:p>
          <w:p w14:paraId="3193E5B8">
            <w:pPr>
              <w:widowControl/>
              <w:adjustRightInd w:val="0"/>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（74分）</w:t>
            </w:r>
          </w:p>
        </w:tc>
        <w:tc>
          <w:tcPr>
            <w:tcW w:w="1238" w:type="dxa"/>
            <w:tcBorders>
              <w:top w:val="single" w:color="auto" w:sz="4" w:space="0"/>
              <w:left w:val="single" w:color="auto" w:sz="4" w:space="0"/>
              <w:bottom w:val="single" w:color="auto" w:sz="4" w:space="0"/>
              <w:right w:val="single" w:color="auto" w:sz="4" w:space="0"/>
            </w:tcBorders>
            <w:noWrap/>
            <w:vAlign w:val="center"/>
          </w:tcPr>
          <w:p w14:paraId="69BAD843">
            <w:pPr>
              <w:widowControl/>
              <w:adjustRightInd w:val="0"/>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总体服务方案</w:t>
            </w:r>
          </w:p>
        </w:tc>
        <w:tc>
          <w:tcPr>
            <w:tcW w:w="5289" w:type="dxa"/>
            <w:tcBorders>
              <w:top w:val="single" w:color="auto" w:sz="4" w:space="0"/>
              <w:left w:val="single" w:color="auto" w:sz="4" w:space="0"/>
              <w:bottom w:val="single" w:color="auto" w:sz="4" w:space="0"/>
              <w:right w:val="single" w:color="auto" w:sz="4" w:space="0"/>
            </w:tcBorders>
            <w:noWrap/>
            <w:vAlign w:val="center"/>
          </w:tcPr>
          <w:p w14:paraId="5BD40B62">
            <w:pPr>
              <w:widowControl/>
              <w:adjustRightInd w:val="0"/>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供应商本项目提供总体服务方案概述，包括：</w:t>
            </w:r>
          </w:p>
          <w:p w14:paraId="17E39FF4">
            <w:pPr>
              <w:widowControl/>
              <w:adjustRightInd w:val="0"/>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（1）对服务需求的理解，得3分，内容存在缺陷的，得2分，内容存在不符合项目需求的，得1分，未提供，得0分；</w:t>
            </w:r>
          </w:p>
          <w:p w14:paraId="60E9E4A9">
            <w:pPr>
              <w:widowControl/>
              <w:adjustRightInd w:val="0"/>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（2）服务目标符合采购需求，得3分，内容存在缺陷的，得2分，内容存在不符合项目需求的，得1分，未提供，得0分；</w:t>
            </w:r>
          </w:p>
          <w:p w14:paraId="0633393F">
            <w:pPr>
              <w:widowControl/>
              <w:adjustRightInd w:val="0"/>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（3）管理理念与管理模式等内容符合采购需求，得4分，内容存在缺陷的，得2分，内容存在不符合项目需求的，得1分，未提供，得0分。</w:t>
            </w:r>
          </w:p>
          <w:p w14:paraId="6F4EC100">
            <w:pPr>
              <w:widowControl/>
              <w:adjustRightInd w:val="0"/>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注：缺陷指对项目需求理解存在偏差、存在相互矛盾内容、未针对本项目编写等任意一种情形。</w:t>
            </w:r>
          </w:p>
          <w:p w14:paraId="5A5500EC">
            <w:pPr>
              <w:widowControl/>
              <w:adjustRightInd w:val="0"/>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不符合项目需求是指存在与本项目执行无关的内容、存在相关内容在实际操作中不能运用、使用的工作方法、标准、依据、流程等有错误影响方案有效性等任意一种情形。</w:t>
            </w:r>
          </w:p>
        </w:tc>
        <w:tc>
          <w:tcPr>
            <w:tcW w:w="915" w:type="dxa"/>
            <w:tcBorders>
              <w:top w:val="single" w:color="auto" w:sz="4" w:space="0"/>
              <w:left w:val="single" w:color="auto" w:sz="4" w:space="0"/>
              <w:bottom w:val="single" w:color="auto" w:sz="4" w:space="0"/>
              <w:right w:val="single" w:color="auto" w:sz="4" w:space="0"/>
            </w:tcBorders>
            <w:noWrap/>
            <w:vAlign w:val="center"/>
          </w:tcPr>
          <w:p w14:paraId="5BA62895">
            <w:pPr>
              <w:widowControl/>
              <w:adjustRightInd w:val="0"/>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10</w:t>
            </w:r>
          </w:p>
        </w:tc>
      </w:tr>
      <w:tr w14:paraId="147E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1232" w:type="dxa"/>
            <w:vMerge w:val="continue"/>
            <w:tcBorders>
              <w:top w:val="single" w:color="auto" w:sz="4" w:space="0"/>
              <w:left w:val="single" w:color="auto" w:sz="4" w:space="0"/>
              <w:bottom w:val="single" w:color="auto" w:sz="4" w:space="0"/>
              <w:right w:val="single" w:color="auto" w:sz="4" w:space="0"/>
            </w:tcBorders>
            <w:noWrap/>
            <w:vAlign w:val="center"/>
          </w:tcPr>
          <w:p w14:paraId="78C8BB87">
            <w:pPr>
              <w:widowControl/>
              <w:adjustRightInd w:val="0"/>
              <w:snapToGrid w:val="0"/>
              <w:jc w:val="center"/>
              <w:rPr>
                <w:rFonts w:ascii="仿宋_GB2312" w:hAnsi="仿宋_GB2312" w:eastAsia="仿宋_GB2312" w:cs="仿宋_GB2312"/>
                <w:color w:val="000000" w:themeColor="text1"/>
                <w:sz w:val="24"/>
              </w:rPr>
            </w:pPr>
          </w:p>
        </w:tc>
        <w:tc>
          <w:tcPr>
            <w:tcW w:w="1238" w:type="dxa"/>
            <w:tcBorders>
              <w:top w:val="single" w:color="auto" w:sz="4" w:space="0"/>
              <w:left w:val="single" w:color="auto" w:sz="4" w:space="0"/>
              <w:bottom w:val="single" w:color="auto" w:sz="4" w:space="0"/>
              <w:right w:val="single" w:color="auto" w:sz="4" w:space="0"/>
            </w:tcBorders>
            <w:noWrap/>
            <w:vAlign w:val="center"/>
          </w:tcPr>
          <w:p w14:paraId="5D677C90">
            <w:pPr>
              <w:widowControl/>
              <w:adjustRightInd w:val="0"/>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营养配餐方案</w:t>
            </w:r>
          </w:p>
        </w:tc>
        <w:tc>
          <w:tcPr>
            <w:tcW w:w="5289" w:type="dxa"/>
            <w:tcBorders>
              <w:top w:val="single" w:color="auto" w:sz="4" w:space="0"/>
              <w:left w:val="single" w:color="auto" w:sz="4" w:space="0"/>
              <w:bottom w:val="single" w:color="auto" w:sz="4" w:space="0"/>
              <w:right w:val="single" w:color="auto" w:sz="4" w:space="0"/>
            </w:tcBorders>
            <w:noWrap/>
            <w:vAlign w:val="center"/>
          </w:tcPr>
          <w:p w14:paraId="1B927AD1">
            <w:pPr>
              <w:widowControl/>
              <w:adjustRightInd w:val="0"/>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1.评委根据投标人提供的（1）师生营养配餐依据（2）营养食谱的编制（3）主副食和菜品营养搭配保证机制的内容针对性强，方案科学合理可行，完全符合采购单位实际需求，得15分。</w:t>
            </w:r>
          </w:p>
          <w:p w14:paraId="79FFC434">
            <w:pPr>
              <w:widowControl/>
              <w:adjustRightInd w:val="0"/>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2.评委根据投标人提供的营养配餐方案的内容比较完整,方案比较科学,比较符合采购单位实际需求,得9分。</w:t>
            </w:r>
          </w:p>
          <w:p w14:paraId="56820FE1">
            <w:pPr>
              <w:widowControl/>
              <w:adjustRightInd w:val="0"/>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3评委根据投标人提供的营养配餐方案的内容基本完整，方案基本科学，基本符合采购单位实际需求,得3分。</w:t>
            </w:r>
          </w:p>
          <w:p w14:paraId="0D071878">
            <w:pPr>
              <w:widowControl/>
              <w:adjustRightInd w:val="0"/>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4、未提供方案，得0分</w:t>
            </w:r>
          </w:p>
        </w:tc>
        <w:tc>
          <w:tcPr>
            <w:tcW w:w="915" w:type="dxa"/>
            <w:tcBorders>
              <w:top w:val="single" w:color="auto" w:sz="4" w:space="0"/>
              <w:left w:val="single" w:color="auto" w:sz="4" w:space="0"/>
              <w:bottom w:val="single" w:color="auto" w:sz="4" w:space="0"/>
              <w:right w:val="single" w:color="auto" w:sz="4" w:space="0"/>
            </w:tcBorders>
            <w:noWrap/>
            <w:vAlign w:val="center"/>
          </w:tcPr>
          <w:p w14:paraId="2D2B7297">
            <w:pPr>
              <w:widowControl/>
              <w:adjustRightInd w:val="0"/>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15</w:t>
            </w:r>
          </w:p>
        </w:tc>
      </w:tr>
      <w:tr w14:paraId="6AF1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32" w:type="dxa"/>
            <w:vMerge w:val="continue"/>
            <w:tcBorders>
              <w:top w:val="single" w:color="auto" w:sz="4" w:space="0"/>
              <w:left w:val="single" w:color="auto" w:sz="4" w:space="0"/>
              <w:bottom w:val="single" w:color="auto" w:sz="4" w:space="0"/>
              <w:right w:val="single" w:color="auto" w:sz="4" w:space="0"/>
            </w:tcBorders>
            <w:noWrap/>
            <w:vAlign w:val="center"/>
          </w:tcPr>
          <w:p w14:paraId="2C59090D">
            <w:pPr>
              <w:widowControl/>
              <w:adjustRightInd w:val="0"/>
              <w:snapToGrid w:val="0"/>
              <w:jc w:val="center"/>
              <w:rPr>
                <w:rFonts w:ascii="仿宋_GB2312" w:hAnsi="仿宋_GB2312" w:eastAsia="仿宋_GB2312" w:cs="仿宋_GB2312"/>
                <w:color w:val="000000" w:themeColor="text1"/>
                <w:sz w:val="24"/>
              </w:rPr>
            </w:pPr>
          </w:p>
        </w:tc>
        <w:tc>
          <w:tcPr>
            <w:tcW w:w="1238" w:type="dxa"/>
            <w:tcBorders>
              <w:top w:val="single" w:color="auto" w:sz="4" w:space="0"/>
              <w:left w:val="single" w:color="auto" w:sz="4" w:space="0"/>
              <w:bottom w:val="single" w:color="auto" w:sz="4" w:space="0"/>
              <w:right w:val="single" w:color="auto" w:sz="4" w:space="0"/>
            </w:tcBorders>
            <w:noWrap/>
            <w:vAlign w:val="center"/>
          </w:tcPr>
          <w:p w14:paraId="4B657C39">
            <w:pPr>
              <w:widowControl/>
              <w:adjustRightInd w:val="0"/>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卫生管理控制方案</w:t>
            </w:r>
          </w:p>
        </w:tc>
        <w:tc>
          <w:tcPr>
            <w:tcW w:w="5289" w:type="dxa"/>
            <w:tcBorders>
              <w:top w:val="single" w:color="auto" w:sz="4" w:space="0"/>
              <w:left w:val="single" w:color="auto" w:sz="4" w:space="0"/>
              <w:bottom w:val="single" w:color="auto" w:sz="4" w:space="0"/>
              <w:right w:val="single" w:color="auto" w:sz="4" w:space="0"/>
            </w:tcBorders>
            <w:noWrap/>
            <w:vAlign w:val="center"/>
          </w:tcPr>
          <w:p w14:paraId="72EFCED1">
            <w:pPr>
              <w:widowControl/>
              <w:adjustRightInd w:val="0"/>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供应商根据本项目提供卫生管理控制方案，包括：</w:t>
            </w:r>
          </w:p>
          <w:p w14:paraId="506979B2">
            <w:pPr>
              <w:widowControl/>
              <w:adjustRightInd w:val="0"/>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（1）清洁、保洁工作计划符合采购需求，提供有效的质量保证措施，得2分，内容存在缺陷的，得1分，内容存在不符合项目需求的，得0.5分，未提供，得0分；</w:t>
            </w:r>
          </w:p>
          <w:p w14:paraId="134CD823">
            <w:pPr>
              <w:widowControl/>
              <w:adjustRightInd w:val="0"/>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（2）提供有效的餐厅、后厨定期消毒方案，得2分，内容存在缺陷的，得1分，内容存在不符合项目需求的，得0.5分，未提供，得0分；</w:t>
            </w:r>
          </w:p>
          <w:p w14:paraId="5CBB9961">
            <w:pPr>
              <w:widowControl/>
              <w:adjustRightInd w:val="0"/>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（3）提供有效的设备清洁使用及保养管理方案，得2分，内容存在缺陷的，得1分，内容存在不符合项目需求的，得0.5分，未提供，得0分。</w:t>
            </w:r>
          </w:p>
          <w:p w14:paraId="3EC3D9CE">
            <w:pPr>
              <w:widowControl/>
              <w:adjustRightInd w:val="0"/>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注：缺陷指对项目需求理解存在偏差、存在相互矛盾内容、未针对本项目编写等任意一种情形。</w:t>
            </w:r>
          </w:p>
          <w:p w14:paraId="1271945E">
            <w:pPr>
              <w:widowControl/>
              <w:adjustRightInd w:val="0"/>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不符合项目需求是指存在与本项目执行无关的内容、存在相关内容在实际操作中不能运用、使用的工作方法、标准、依据、流程等有错误影响方案有效性等任意一种情形。</w:t>
            </w:r>
          </w:p>
        </w:tc>
        <w:tc>
          <w:tcPr>
            <w:tcW w:w="915" w:type="dxa"/>
            <w:tcBorders>
              <w:top w:val="single" w:color="auto" w:sz="4" w:space="0"/>
              <w:left w:val="single" w:color="auto" w:sz="4" w:space="0"/>
              <w:bottom w:val="single" w:color="auto" w:sz="4" w:space="0"/>
              <w:right w:val="single" w:color="auto" w:sz="4" w:space="0"/>
            </w:tcBorders>
            <w:noWrap/>
            <w:vAlign w:val="center"/>
          </w:tcPr>
          <w:p w14:paraId="711F9FEE">
            <w:pPr>
              <w:widowControl/>
              <w:adjustRightInd w:val="0"/>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6</w:t>
            </w:r>
          </w:p>
        </w:tc>
      </w:tr>
      <w:tr w14:paraId="7870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32" w:type="dxa"/>
            <w:vMerge w:val="continue"/>
            <w:tcBorders>
              <w:top w:val="single" w:color="auto" w:sz="4" w:space="0"/>
              <w:left w:val="single" w:color="auto" w:sz="4" w:space="0"/>
              <w:bottom w:val="single" w:color="auto" w:sz="4" w:space="0"/>
              <w:right w:val="single" w:color="auto" w:sz="4" w:space="0"/>
            </w:tcBorders>
            <w:noWrap/>
            <w:vAlign w:val="center"/>
          </w:tcPr>
          <w:p w14:paraId="1DD15358">
            <w:pPr>
              <w:widowControl/>
              <w:adjustRightInd w:val="0"/>
              <w:snapToGrid w:val="0"/>
              <w:jc w:val="center"/>
              <w:rPr>
                <w:rFonts w:ascii="仿宋_GB2312" w:hAnsi="仿宋_GB2312" w:eastAsia="仿宋_GB2312" w:cs="仿宋_GB2312"/>
                <w:color w:val="000000" w:themeColor="text1"/>
                <w:sz w:val="24"/>
              </w:rPr>
            </w:pPr>
          </w:p>
        </w:tc>
        <w:tc>
          <w:tcPr>
            <w:tcW w:w="1238" w:type="dxa"/>
            <w:tcBorders>
              <w:top w:val="single" w:color="auto" w:sz="4" w:space="0"/>
              <w:left w:val="single" w:color="auto" w:sz="4" w:space="0"/>
              <w:bottom w:val="single" w:color="auto" w:sz="4" w:space="0"/>
              <w:right w:val="single" w:color="auto" w:sz="4" w:space="0"/>
            </w:tcBorders>
            <w:noWrap/>
            <w:vAlign w:val="center"/>
          </w:tcPr>
          <w:p w14:paraId="333A2C72">
            <w:pPr>
              <w:widowControl/>
              <w:adjustRightInd w:val="0"/>
              <w:snapToGrid w:val="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食品安全保障方案</w:t>
            </w:r>
          </w:p>
        </w:tc>
        <w:tc>
          <w:tcPr>
            <w:tcW w:w="5289" w:type="dxa"/>
            <w:tcBorders>
              <w:top w:val="single" w:color="auto" w:sz="4" w:space="0"/>
              <w:left w:val="single" w:color="auto" w:sz="4" w:space="0"/>
              <w:bottom w:val="single" w:color="auto" w:sz="4" w:space="0"/>
              <w:right w:val="single" w:color="auto" w:sz="4" w:space="0"/>
            </w:tcBorders>
            <w:noWrap/>
            <w:vAlign w:val="center"/>
          </w:tcPr>
          <w:p w14:paraId="4899E0B7">
            <w:pPr>
              <w:widowControl/>
              <w:adjustRightInd w:val="0"/>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评委根据投标人提供的（1）食品安全保障体系（2）食品存放、库房管理和食品留样制度（3）防虫防鼠方案（4）食品安全检测计划及实施方案的内容针对性强，方科学合理可行，完全符合采购单位实际需求,得20分。</w:t>
            </w:r>
          </w:p>
          <w:p w14:paraId="6984606A">
            <w:pPr>
              <w:widowControl/>
              <w:adjustRightInd w:val="0"/>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2.评委根据投标人提供的食品安全保障方案的内容比较完整，方案比较科学，比较符合采购单位实际需求,得12分</w:t>
            </w:r>
          </w:p>
          <w:p w14:paraId="2F0F30A5">
            <w:pPr>
              <w:widowControl/>
              <w:adjustRightInd w:val="0"/>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3.评委根据投标人提供的食品安全保障方案的内容基本完整，方案基本科学，基本符合采购单位实际需求，得4分。</w:t>
            </w:r>
          </w:p>
          <w:p w14:paraId="1F498EDC">
            <w:pPr>
              <w:widowControl/>
              <w:adjustRightInd w:val="0"/>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4、未提供方案，得0分</w:t>
            </w:r>
          </w:p>
        </w:tc>
        <w:tc>
          <w:tcPr>
            <w:tcW w:w="915" w:type="dxa"/>
            <w:tcBorders>
              <w:top w:val="single" w:color="auto" w:sz="4" w:space="0"/>
              <w:left w:val="single" w:color="auto" w:sz="4" w:space="0"/>
              <w:bottom w:val="single" w:color="auto" w:sz="4" w:space="0"/>
              <w:right w:val="single" w:color="auto" w:sz="4" w:space="0"/>
            </w:tcBorders>
            <w:noWrap/>
            <w:vAlign w:val="center"/>
          </w:tcPr>
          <w:p w14:paraId="373BF105">
            <w:pPr>
              <w:widowControl/>
              <w:adjustRightInd w:val="0"/>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20</w:t>
            </w:r>
          </w:p>
        </w:tc>
      </w:tr>
      <w:tr w14:paraId="7950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32" w:type="dxa"/>
            <w:vMerge w:val="continue"/>
            <w:tcBorders>
              <w:top w:val="single" w:color="auto" w:sz="4" w:space="0"/>
              <w:left w:val="single" w:color="auto" w:sz="4" w:space="0"/>
              <w:bottom w:val="single" w:color="auto" w:sz="4" w:space="0"/>
              <w:right w:val="single" w:color="auto" w:sz="4" w:space="0"/>
            </w:tcBorders>
            <w:noWrap/>
            <w:vAlign w:val="center"/>
          </w:tcPr>
          <w:p w14:paraId="359428EC">
            <w:pPr>
              <w:widowControl/>
              <w:adjustRightInd w:val="0"/>
              <w:snapToGrid w:val="0"/>
              <w:jc w:val="center"/>
              <w:rPr>
                <w:rFonts w:ascii="仿宋_GB2312" w:hAnsi="仿宋_GB2312" w:eastAsia="仿宋_GB2312" w:cs="仿宋_GB2312"/>
                <w:color w:val="000000" w:themeColor="text1"/>
                <w:sz w:val="24"/>
              </w:rPr>
            </w:pPr>
          </w:p>
        </w:tc>
        <w:tc>
          <w:tcPr>
            <w:tcW w:w="1238" w:type="dxa"/>
            <w:tcBorders>
              <w:top w:val="single" w:color="auto" w:sz="4" w:space="0"/>
              <w:left w:val="single" w:color="auto" w:sz="4" w:space="0"/>
              <w:bottom w:val="single" w:color="auto" w:sz="4" w:space="0"/>
              <w:right w:val="single" w:color="auto" w:sz="4" w:space="0"/>
            </w:tcBorders>
            <w:noWrap/>
            <w:vAlign w:val="center"/>
          </w:tcPr>
          <w:p w14:paraId="29C0BD4E">
            <w:pPr>
              <w:widowControl/>
              <w:adjustRightInd w:val="0"/>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突发应急预案</w:t>
            </w:r>
          </w:p>
        </w:tc>
        <w:tc>
          <w:tcPr>
            <w:tcW w:w="5289" w:type="dxa"/>
            <w:tcBorders>
              <w:top w:val="single" w:color="auto" w:sz="4" w:space="0"/>
              <w:left w:val="single" w:color="auto" w:sz="4" w:space="0"/>
              <w:bottom w:val="single" w:color="auto" w:sz="4" w:space="0"/>
              <w:right w:val="single" w:color="auto" w:sz="4" w:space="0"/>
            </w:tcBorders>
            <w:noWrap/>
            <w:vAlign w:val="center"/>
          </w:tcPr>
          <w:p w14:paraId="71461C57">
            <w:pPr>
              <w:widowControl/>
              <w:adjustRightInd w:val="0"/>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1.突然断水、断电、无燃气应急措施2.消防安全应急措施3.食物中毒应急措施方案可行性强，保障措施有力，应急经验丰富，能具体问题具体分析得12分;</w:t>
            </w:r>
          </w:p>
          <w:p w14:paraId="656D3B72">
            <w:pPr>
              <w:widowControl/>
              <w:adjustRightInd w:val="0"/>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应急预案可行性较好，保障措施可行，应急经验较丰富，能具体问题具体分析得6分:</w:t>
            </w:r>
          </w:p>
          <w:p w14:paraId="69C3D4BE">
            <w:pPr>
              <w:widowControl/>
              <w:adjustRightInd w:val="0"/>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应急预案可行性一般，保障措施基本可行，应急经验基本丰富，能具体问题具体分析得3分;</w:t>
            </w:r>
          </w:p>
          <w:p w14:paraId="33EBF3CB">
            <w:pPr>
              <w:widowControl/>
              <w:adjustRightInd w:val="0"/>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应急预案可行性差，保障措施一般，应急经验不丰富，具体问题不能具体分析的不得分</w:t>
            </w:r>
          </w:p>
        </w:tc>
        <w:tc>
          <w:tcPr>
            <w:tcW w:w="915" w:type="dxa"/>
            <w:tcBorders>
              <w:top w:val="single" w:color="auto" w:sz="4" w:space="0"/>
              <w:left w:val="single" w:color="auto" w:sz="4" w:space="0"/>
              <w:bottom w:val="single" w:color="auto" w:sz="4" w:space="0"/>
              <w:right w:val="single" w:color="auto" w:sz="4" w:space="0"/>
            </w:tcBorders>
            <w:noWrap/>
            <w:vAlign w:val="center"/>
          </w:tcPr>
          <w:p w14:paraId="6FF334E7">
            <w:pPr>
              <w:widowControl/>
              <w:adjustRightInd w:val="0"/>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12</w:t>
            </w:r>
          </w:p>
        </w:tc>
      </w:tr>
      <w:tr w14:paraId="5219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32" w:type="dxa"/>
            <w:vMerge w:val="continue"/>
            <w:tcBorders>
              <w:top w:val="single" w:color="auto" w:sz="4" w:space="0"/>
              <w:left w:val="single" w:color="auto" w:sz="4" w:space="0"/>
              <w:bottom w:val="single" w:color="auto" w:sz="4" w:space="0"/>
              <w:right w:val="single" w:color="auto" w:sz="4" w:space="0"/>
            </w:tcBorders>
            <w:noWrap/>
            <w:vAlign w:val="center"/>
          </w:tcPr>
          <w:p w14:paraId="1AA4474A">
            <w:pPr>
              <w:widowControl/>
              <w:adjustRightInd w:val="0"/>
              <w:snapToGrid w:val="0"/>
              <w:jc w:val="center"/>
              <w:rPr>
                <w:rFonts w:ascii="仿宋_GB2312" w:hAnsi="仿宋_GB2312" w:eastAsia="仿宋_GB2312" w:cs="仿宋_GB2312"/>
                <w:color w:val="000000" w:themeColor="text1"/>
                <w:sz w:val="24"/>
              </w:rPr>
            </w:pPr>
          </w:p>
        </w:tc>
        <w:tc>
          <w:tcPr>
            <w:tcW w:w="1238" w:type="dxa"/>
            <w:tcBorders>
              <w:top w:val="single" w:color="auto" w:sz="4" w:space="0"/>
              <w:left w:val="single" w:color="auto" w:sz="4" w:space="0"/>
              <w:bottom w:val="single" w:color="auto" w:sz="4" w:space="0"/>
              <w:right w:val="single" w:color="auto" w:sz="4" w:space="0"/>
            </w:tcBorders>
            <w:noWrap/>
            <w:vAlign w:val="center"/>
          </w:tcPr>
          <w:p w14:paraId="26B286E3">
            <w:pPr>
              <w:widowControl/>
              <w:adjustRightInd w:val="0"/>
              <w:snapToGrid w:val="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人员职责与管理方案</w:t>
            </w:r>
          </w:p>
        </w:tc>
        <w:tc>
          <w:tcPr>
            <w:tcW w:w="5289" w:type="dxa"/>
            <w:tcBorders>
              <w:top w:val="single" w:color="auto" w:sz="4" w:space="0"/>
              <w:left w:val="single" w:color="auto" w:sz="4" w:space="0"/>
              <w:bottom w:val="single" w:color="auto" w:sz="4" w:space="0"/>
              <w:right w:val="single" w:color="auto" w:sz="4" w:space="0"/>
            </w:tcBorders>
            <w:noWrap/>
            <w:vAlign w:val="center"/>
          </w:tcPr>
          <w:p w14:paraId="0898F396">
            <w:pPr>
              <w:widowControl/>
              <w:adjustRightInd w:val="0"/>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评委根据投标人提供的（1）人员职责与管理方案、（2）投诉处理方案、（3）工作人员培训、考核制度（4）意外事故处理等内容，进行综合评分:</w:t>
            </w:r>
          </w:p>
          <w:p w14:paraId="253C6C35">
            <w:pPr>
              <w:widowControl/>
              <w:adjustRightInd w:val="0"/>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1、提供符合服务需求全面详实的有效方案，无缺陷，得7分;</w:t>
            </w:r>
          </w:p>
          <w:p w14:paraId="0E52331A">
            <w:pPr>
              <w:widowControl/>
              <w:adjustRightInd w:val="0"/>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2、方案内容存在缺陷或基本符合项目需求的，得4分;</w:t>
            </w:r>
          </w:p>
          <w:p w14:paraId="4CB7614F">
            <w:pPr>
              <w:widowControl/>
              <w:adjustRightInd w:val="0"/>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3、方案中缺少上述4项中任意1项内容，得3分</w:t>
            </w:r>
          </w:p>
          <w:p w14:paraId="6B709336">
            <w:pPr>
              <w:widowControl/>
              <w:adjustRightInd w:val="0"/>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4、未提供方案或提供上述方案不足3项的，得0分</w:t>
            </w:r>
          </w:p>
          <w:p w14:paraId="6363E98E">
            <w:pPr>
              <w:widowControl/>
              <w:adjustRightInd w:val="0"/>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注:缺陷是指方案内容与项目需求不一致、存在相互矛盾内容以及未针对本项目编写的任意一种情形。</w:t>
            </w:r>
          </w:p>
          <w:p w14:paraId="2887EFEC">
            <w:pPr>
              <w:widowControl/>
              <w:adjustRightInd w:val="0"/>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不符合项目需求是指存在与本项目执行无关的内容、存在相关内容在实际操作中不能运用的任意一种情形。</w:t>
            </w:r>
          </w:p>
        </w:tc>
        <w:tc>
          <w:tcPr>
            <w:tcW w:w="915" w:type="dxa"/>
            <w:tcBorders>
              <w:top w:val="single" w:color="auto" w:sz="4" w:space="0"/>
              <w:left w:val="single" w:color="auto" w:sz="4" w:space="0"/>
              <w:bottom w:val="single" w:color="auto" w:sz="4" w:space="0"/>
              <w:right w:val="single" w:color="auto" w:sz="4" w:space="0"/>
            </w:tcBorders>
            <w:noWrap/>
            <w:vAlign w:val="center"/>
          </w:tcPr>
          <w:p w14:paraId="640102B3">
            <w:pPr>
              <w:widowControl/>
              <w:adjustRightInd w:val="0"/>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7</w:t>
            </w:r>
          </w:p>
        </w:tc>
      </w:tr>
      <w:tr w14:paraId="3D23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1232" w:type="dxa"/>
            <w:tcBorders>
              <w:top w:val="single" w:color="auto" w:sz="4" w:space="0"/>
              <w:left w:val="single" w:color="auto" w:sz="4" w:space="0"/>
              <w:bottom w:val="single" w:color="auto" w:sz="4" w:space="0"/>
              <w:right w:val="single" w:color="auto" w:sz="4" w:space="0"/>
            </w:tcBorders>
            <w:noWrap/>
            <w:vAlign w:val="center"/>
          </w:tcPr>
          <w:p w14:paraId="4E3D1C42">
            <w:pPr>
              <w:widowControl/>
              <w:adjustRightInd w:val="0"/>
              <w:snapToGrid w:val="0"/>
              <w:jc w:val="center"/>
              <w:rPr>
                <w:rFonts w:ascii="仿宋_GB2312" w:hAnsi="仿宋_GB2312" w:eastAsia="仿宋_GB2312" w:cs="仿宋_GB2312"/>
                <w:color w:val="000000" w:themeColor="text1"/>
                <w:sz w:val="24"/>
              </w:rPr>
            </w:pPr>
          </w:p>
        </w:tc>
        <w:tc>
          <w:tcPr>
            <w:tcW w:w="1238" w:type="dxa"/>
            <w:tcBorders>
              <w:top w:val="single" w:color="auto" w:sz="4" w:space="0"/>
              <w:left w:val="single" w:color="auto" w:sz="4" w:space="0"/>
              <w:bottom w:val="single" w:color="auto" w:sz="4" w:space="0"/>
              <w:right w:val="single" w:color="auto" w:sz="4" w:space="0"/>
            </w:tcBorders>
            <w:noWrap/>
            <w:vAlign w:val="center"/>
          </w:tcPr>
          <w:p w14:paraId="12B2A8B4">
            <w:pPr>
              <w:widowControl/>
              <w:adjustRightInd w:val="0"/>
              <w:snapToGrid w:val="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企业内控制度</w:t>
            </w:r>
          </w:p>
        </w:tc>
        <w:tc>
          <w:tcPr>
            <w:tcW w:w="5289" w:type="dxa"/>
            <w:tcBorders>
              <w:top w:val="single" w:color="auto" w:sz="4" w:space="0"/>
              <w:left w:val="single" w:color="auto" w:sz="4" w:space="0"/>
              <w:bottom w:val="single" w:color="auto" w:sz="4" w:space="0"/>
              <w:right w:val="single" w:color="auto" w:sz="4" w:space="0"/>
            </w:tcBorders>
            <w:noWrap/>
            <w:vAlign w:val="center"/>
          </w:tcPr>
          <w:p w14:paraId="6B432C74">
            <w:pPr>
              <w:widowControl/>
              <w:adjustRightInd w:val="0"/>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评委根据投标人提供的（1）人员健康管理制度（2）隐患排查及检查制度（3）设备设施维护制度（4）投诉处理制度（5）财务内部控制度，进行综合评分:</w:t>
            </w:r>
          </w:p>
          <w:p w14:paraId="506F6C8A">
            <w:pPr>
              <w:widowControl/>
              <w:adjustRightInd w:val="0"/>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1、提供全面详实的制度方案，无缺陷，得4分;</w:t>
            </w:r>
          </w:p>
          <w:p w14:paraId="2F0AE57E">
            <w:pPr>
              <w:widowControl/>
              <w:adjustRightInd w:val="0"/>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2、方案内容存在缺陷或基本符合项目需求的，得2分;</w:t>
            </w:r>
          </w:p>
          <w:p w14:paraId="195524F3">
            <w:pPr>
              <w:widowControl/>
              <w:adjustRightInd w:val="0"/>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3、未提供方案，得0分</w:t>
            </w:r>
          </w:p>
          <w:p w14:paraId="33B26A9A">
            <w:pPr>
              <w:widowControl/>
              <w:adjustRightInd w:val="0"/>
              <w:snapToGrid w:val="0"/>
              <w:jc w:val="left"/>
              <w:rPr>
                <w:rFonts w:ascii="仿宋_GB2312" w:hAnsi="仿宋_GB2312" w:eastAsia="仿宋_GB2312" w:cs="仿宋_GB2312"/>
                <w:color w:val="000000" w:themeColor="text1"/>
                <w:sz w:val="24"/>
              </w:rPr>
            </w:pPr>
          </w:p>
          <w:p w14:paraId="18F62C2F">
            <w:pPr>
              <w:widowControl/>
              <w:adjustRightInd w:val="0"/>
              <w:snapToGrid w:val="0"/>
              <w:jc w:val="left"/>
              <w:rPr>
                <w:rFonts w:ascii="仿宋_GB2312" w:hAnsi="仿宋_GB2312" w:eastAsia="仿宋_GB2312" w:cs="仿宋_GB2312"/>
                <w:color w:val="000000" w:themeColor="text1"/>
                <w:sz w:val="24"/>
              </w:rPr>
            </w:pPr>
          </w:p>
        </w:tc>
        <w:tc>
          <w:tcPr>
            <w:tcW w:w="915" w:type="dxa"/>
            <w:tcBorders>
              <w:top w:val="single" w:color="auto" w:sz="4" w:space="0"/>
              <w:left w:val="single" w:color="auto" w:sz="4" w:space="0"/>
              <w:bottom w:val="single" w:color="auto" w:sz="4" w:space="0"/>
              <w:right w:val="single" w:color="auto" w:sz="4" w:space="0"/>
            </w:tcBorders>
            <w:noWrap/>
            <w:vAlign w:val="center"/>
          </w:tcPr>
          <w:p w14:paraId="71DB8EB9">
            <w:pPr>
              <w:widowControl/>
              <w:adjustRightInd w:val="0"/>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4</w:t>
            </w:r>
          </w:p>
        </w:tc>
      </w:tr>
      <w:tr w14:paraId="709DF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0" w:hRule="atLeast"/>
        </w:trPr>
        <w:tc>
          <w:tcPr>
            <w:tcW w:w="1232" w:type="dxa"/>
            <w:vMerge w:val="restart"/>
            <w:tcBorders>
              <w:top w:val="single" w:color="auto" w:sz="4" w:space="0"/>
              <w:left w:val="single" w:color="auto" w:sz="4" w:space="0"/>
              <w:right w:val="single" w:color="auto" w:sz="4" w:space="0"/>
            </w:tcBorders>
            <w:noWrap/>
            <w:vAlign w:val="center"/>
          </w:tcPr>
          <w:p w14:paraId="3C1CAFC3">
            <w:pPr>
              <w:widowControl/>
              <w:adjustRightInd w:val="0"/>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商务部分</w:t>
            </w:r>
          </w:p>
          <w:p w14:paraId="09FEF6C2">
            <w:pPr>
              <w:widowControl/>
              <w:adjustRightInd w:val="0"/>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（26分）</w:t>
            </w:r>
          </w:p>
        </w:tc>
        <w:tc>
          <w:tcPr>
            <w:tcW w:w="1238" w:type="dxa"/>
            <w:tcBorders>
              <w:top w:val="single" w:color="auto" w:sz="4" w:space="0"/>
              <w:left w:val="single" w:color="auto" w:sz="4" w:space="0"/>
              <w:right w:val="single" w:color="auto" w:sz="4" w:space="0"/>
            </w:tcBorders>
            <w:noWrap/>
            <w:vAlign w:val="center"/>
          </w:tcPr>
          <w:p w14:paraId="759626A8">
            <w:pPr>
              <w:adjustRightInd w:val="0"/>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人员配置</w:t>
            </w:r>
          </w:p>
        </w:tc>
        <w:tc>
          <w:tcPr>
            <w:tcW w:w="5289" w:type="dxa"/>
            <w:tcBorders>
              <w:top w:val="single" w:color="auto" w:sz="4" w:space="0"/>
              <w:left w:val="single" w:color="auto" w:sz="4" w:space="0"/>
              <w:right w:val="single" w:color="auto" w:sz="4" w:space="0"/>
            </w:tcBorders>
            <w:noWrap/>
            <w:vAlign w:val="center"/>
          </w:tcPr>
          <w:p w14:paraId="09C75F59">
            <w:pPr>
              <w:adjustRightInd w:val="0"/>
              <w:snapToGrid w:val="0"/>
              <w:jc w:val="left"/>
              <w:rPr>
                <w:rFonts w:ascii="仿宋_GB2312" w:hAnsi="仿宋_GB2312" w:eastAsia="仿宋_GB2312" w:cs="仿宋_GB2312"/>
                <w:color w:val="000000" w:themeColor="text1"/>
                <w:kern w:val="0"/>
                <w:sz w:val="24"/>
              </w:rPr>
            </w:pPr>
            <w:r>
              <w:rPr>
                <w:rFonts w:hint="eastAsia" w:ascii="仿宋_GB2312" w:hAnsi="仿宋_GB2312" w:eastAsia="仿宋_GB2312" w:cs="仿宋_GB2312"/>
                <w:color w:val="000000" w:themeColor="text1"/>
                <w:kern w:val="0"/>
                <w:sz w:val="24"/>
              </w:rPr>
              <w:t>投标单位</w:t>
            </w:r>
          </w:p>
          <w:p w14:paraId="559A3973">
            <w:pPr>
              <w:adjustRightInd w:val="0"/>
              <w:snapToGrid w:val="0"/>
              <w:jc w:val="left"/>
              <w:rPr>
                <w:rFonts w:ascii="仿宋_GB2312" w:hAnsi="仿宋_GB2312" w:eastAsia="仿宋_GB2312" w:cs="仿宋_GB2312"/>
                <w:color w:val="000000" w:themeColor="text1"/>
                <w:kern w:val="0"/>
                <w:sz w:val="24"/>
              </w:rPr>
            </w:pPr>
            <w:r>
              <w:rPr>
                <w:rFonts w:hint="eastAsia" w:ascii="仿宋_GB2312" w:hAnsi="仿宋_GB2312" w:eastAsia="仿宋_GB2312" w:cs="仿宋_GB2312"/>
                <w:color w:val="000000" w:themeColor="text1"/>
                <w:kern w:val="0"/>
                <w:sz w:val="24"/>
              </w:rPr>
              <w:t>具有中式烹调证书，每提供一个得1分，最多得2分</w:t>
            </w:r>
          </w:p>
          <w:p w14:paraId="6C55DC5C">
            <w:pPr>
              <w:adjustRightInd w:val="0"/>
              <w:snapToGrid w:val="0"/>
              <w:jc w:val="left"/>
              <w:rPr>
                <w:rFonts w:ascii="仿宋_GB2312" w:hAnsi="仿宋_GB2312" w:eastAsia="仿宋_GB2312" w:cs="仿宋_GB2312"/>
                <w:color w:val="000000" w:themeColor="text1"/>
                <w:kern w:val="0"/>
                <w:sz w:val="24"/>
              </w:rPr>
            </w:pPr>
            <w:r>
              <w:rPr>
                <w:rFonts w:hint="eastAsia" w:ascii="仿宋_GB2312" w:hAnsi="仿宋_GB2312" w:eastAsia="仿宋_GB2312" w:cs="仿宋_GB2312"/>
                <w:color w:val="000000" w:themeColor="text1"/>
                <w:kern w:val="0"/>
                <w:sz w:val="24"/>
              </w:rPr>
              <w:t>具有中式面点师证书，每提供一个得1分，最多得1分</w:t>
            </w:r>
          </w:p>
          <w:p w14:paraId="3588A42A">
            <w:pPr>
              <w:adjustRightInd w:val="0"/>
              <w:snapToGrid w:val="0"/>
              <w:jc w:val="left"/>
              <w:rPr>
                <w:rFonts w:ascii="仿宋_GB2312" w:hAnsi="仿宋_GB2312" w:eastAsia="仿宋_GB2312" w:cs="仿宋_GB2312"/>
                <w:color w:val="000000" w:themeColor="text1"/>
                <w:kern w:val="0"/>
                <w:sz w:val="24"/>
              </w:rPr>
            </w:pPr>
            <w:r>
              <w:rPr>
                <w:rFonts w:hint="eastAsia" w:ascii="仿宋_GB2312" w:hAnsi="仿宋_GB2312" w:eastAsia="仿宋_GB2312" w:cs="仿宋_GB2312"/>
                <w:color w:val="000000" w:themeColor="text1"/>
                <w:kern w:val="0"/>
                <w:sz w:val="24"/>
              </w:rPr>
              <w:t>具有食品安全管理员证书，每提供一个得1分，最多得1分。</w:t>
            </w:r>
          </w:p>
          <w:p w14:paraId="4B410286">
            <w:pPr>
              <w:adjustRightInd w:val="0"/>
              <w:snapToGrid w:val="0"/>
              <w:jc w:val="left"/>
              <w:rPr>
                <w:rFonts w:ascii="仿宋_GB2312" w:hAnsi="仿宋_GB2312" w:eastAsia="仿宋_GB2312" w:cs="仿宋_GB2312"/>
                <w:color w:val="000000" w:themeColor="text1"/>
                <w:kern w:val="0"/>
                <w:sz w:val="24"/>
              </w:rPr>
            </w:pPr>
            <w:r>
              <w:rPr>
                <w:rFonts w:hint="eastAsia" w:ascii="仿宋_GB2312" w:hAnsi="仿宋_GB2312" w:eastAsia="仿宋_GB2312" w:cs="仿宋_GB2312"/>
                <w:color w:val="000000" w:themeColor="text1"/>
                <w:kern w:val="0"/>
                <w:sz w:val="24"/>
              </w:rPr>
              <w:t>具有注册营养师证书，每提供一个得1分，最多得1分，具有健康管理师证书，每提供一个得1分，最多得1分，具有餐饮职业经理人证书，每提供一个得1分，最多得1分，</w:t>
            </w:r>
          </w:p>
          <w:p w14:paraId="79A63AC1">
            <w:pPr>
              <w:adjustRightInd w:val="0"/>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kern w:val="0"/>
                <w:sz w:val="24"/>
              </w:rPr>
              <w:t>本项最多得7分。(须提供证书本人的职业证书、身份证、健康证及开标前六个月内任意一个月的缴纳保险的证明复印件，复印件加盖投标人公章装响应文件)。没有不得分。</w:t>
            </w:r>
          </w:p>
        </w:tc>
        <w:tc>
          <w:tcPr>
            <w:tcW w:w="915" w:type="dxa"/>
            <w:tcBorders>
              <w:top w:val="single" w:color="auto" w:sz="4" w:space="0"/>
              <w:left w:val="single" w:color="auto" w:sz="4" w:space="0"/>
              <w:right w:val="single" w:color="auto" w:sz="4" w:space="0"/>
            </w:tcBorders>
            <w:noWrap/>
            <w:vAlign w:val="center"/>
          </w:tcPr>
          <w:p w14:paraId="5612FD29">
            <w:pPr>
              <w:adjustRightInd w:val="0"/>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7</w:t>
            </w:r>
          </w:p>
        </w:tc>
      </w:tr>
      <w:tr w14:paraId="676A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32" w:type="dxa"/>
            <w:vMerge w:val="continue"/>
            <w:tcBorders>
              <w:left w:val="single" w:color="auto" w:sz="4" w:space="0"/>
              <w:right w:val="single" w:color="auto" w:sz="4" w:space="0"/>
            </w:tcBorders>
            <w:noWrap/>
            <w:vAlign w:val="center"/>
          </w:tcPr>
          <w:p w14:paraId="32597EC5">
            <w:pPr>
              <w:widowControl/>
              <w:adjustRightInd w:val="0"/>
              <w:snapToGrid w:val="0"/>
              <w:jc w:val="center"/>
              <w:rPr>
                <w:rFonts w:ascii="仿宋_GB2312" w:hAnsi="仿宋_GB2312" w:eastAsia="仿宋_GB2312" w:cs="仿宋_GB2312"/>
                <w:color w:val="000000" w:themeColor="text1"/>
                <w:sz w:val="24"/>
              </w:rPr>
            </w:pPr>
          </w:p>
        </w:tc>
        <w:tc>
          <w:tcPr>
            <w:tcW w:w="1238" w:type="dxa"/>
            <w:tcBorders>
              <w:top w:val="single" w:color="auto" w:sz="4" w:space="0"/>
              <w:left w:val="single" w:color="auto" w:sz="4" w:space="0"/>
              <w:bottom w:val="single" w:color="auto" w:sz="4" w:space="0"/>
              <w:right w:val="single" w:color="auto" w:sz="4" w:space="0"/>
            </w:tcBorders>
            <w:noWrap/>
            <w:vAlign w:val="center"/>
          </w:tcPr>
          <w:p w14:paraId="1B08D25D">
            <w:pPr>
              <w:widowControl/>
              <w:adjustRightInd w:val="0"/>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体系认证</w:t>
            </w:r>
          </w:p>
        </w:tc>
        <w:tc>
          <w:tcPr>
            <w:tcW w:w="5289" w:type="dxa"/>
            <w:tcBorders>
              <w:top w:val="single" w:color="auto" w:sz="4" w:space="0"/>
              <w:left w:val="single" w:color="auto" w:sz="4" w:space="0"/>
              <w:bottom w:val="single" w:color="auto" w:sz="4" w:space="0"/>
              <w:right w:val="single" w:color="auto" w:sz="4" w:space="0"/>
            </w:tcBorders>
            <w:noWrap/>
            <w:vAlign w:val="center"/>
          </w:tcPr>
          <w:p w14:paraId="02C60BAD">
            <w:pPr>
              <w:adjustRightInd w:val="0"/>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投标单位具有环境管理体系认证、质量管理体系认证、职业健康安全管理体系认证、食品安全管理体系认证、每具备一项认证证书得1分，最多得4分，服务平台信息查询网站截屏复印件加盖公章，否则不得分。</w:t>
            </w:r>
          </w:p>
        </w:tc>
        <w:tc>
          <w:tcPr>
            <w:tcW w:w="915" w:type="dxa"/>
            <w:tcBorders>
              <w:top w:val="single" w:color="auto" w:sz="4" w:space="0"/>
              <w:left w:val="single" w:color="auto" w:sz="4" w:space="0"/>
              <w:bottom w:val="single" w:color="auto" w:sz="4" w:space="0"/>
              <w:right w:val="single" w:color="auto" w:sz="4" w:space="0"/>
            </w:tcBorders>
            <w:noWrap/>
            <w:vAlign w:val="center"/>
          </w:tcPr>
          <w:p w14:paraId="0C345A54">
            <w:pPr>
              <w:widowControl/>
              <w:adjustRightInd w:val="0"/>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4</w:t>
            </w:r>
          </w:p>
        </w:tc>
      </w:tr>
      <w:tr w14:paraId="7288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trPr>
        <w:tc>
          <w:tcPr>
            <w:tcW w:w="1232" w:type="dxa"/>
            <w:vMerge w:val="continue"/>
            <w:tcBorders>
              <w:left w:val="single" w:color="auto" w:sz="4" w:space="0"/>
              <w:right w:val="single" w:color="auto" w:sz="4" w:space="0"/>
            </w:tcBorders>
            <w:noWrap/>
            <w:vAlign w:val="center"/>
          </w:tcPr>
          <w:p w14:paraId="5F305E77">
            <w:pPr>
              <w:widowControl/>
              <w:adjustRightInd w:val="0"/>
              <w:snapToGrid w:val="0"/>
              <w:jc w:val="center"/>
              <w:rPr>
                <w:rFonts w:ascii="仿宋_GB2312" w:hAnsi="仿宋_GB2312" w:eastAsia="仿宋_GB2312" w:cs="仿宋_GB2312"/>
                <w:color w:val="000000" w:themeColor="text1"/>
                <w:sz w:val="24"/>
              </w:rPr>
            </w:pPr>
          </w:p>
        </w:tc>
        <w:tc>
          <w:tcPr>
            <w:tcW w:w="1238" w:type="dxa"/>
            <w:tcBorders>
              <w:top w:val="single" w:color="auto" w:sz="4" w:space="0"/>
              <w:left w:val="single" w:color="auto" w:sz="4" w:space="0"/>
              <w:right w:val="single" w:color="auto" w:sz="4" w:space="0"/>
            </w:tcBorders>
            <w:noWrap/>
            <w:vAlign w:val="center"/>
          </w:tcPr>
          <w:p w14:paraId="1BC02EE0">
            <w:pPr>
              <w:widowControl/>
              <w:adjustRightInd w:val="0"/>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食品安全责任险及</w:t>
            </w:r>
          </w:p>
          <w:p w14:paraId="5BB91EC1">
            <w:pPr>
              <w:widowControl/>
              <w:adjustRightInd w:val="0"/>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公众责任险</w:t>
            </w:r>
          </w:p>
        </w:tc>
        <w:tc>
          <w:tcPr>
            <w:tcW w:w="5289" w:type="dxa"/>
            <w:tcBorders>
              <w:top w:val="single" w:color="auto" w:sz="4" w:space="0"/>
              <w:left w:val="single" w:color="auto" w:sz="4" w:space="0"/>
              <w:bottom w:val="single" w:color="auto" w:sz="4" w:space="0"/>
              <w:right w:val="single" w:color="auto" w:sz="4" w:space="0"/>
            </w:tcBorders>
            <w:noWrap/>
            <w:vAlign w:val="center"/>
          </w:tcPr>
          <w:p w14:paraId="6DF8675E">
            <w:pPr>
              <w:widowControl/>
              <w:adjustRightInd w:val="0"/>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1.投标单位具有有效期内的食品安全责任险：保额100万及以上的得1分；保额500万及以上的得2分；保额1000万及以上的得4分；保额3000万及以上的得6分；保额5000万及以上的得8分。</w:t>
            </w:r>
          </w:p>
          <w:p w14:paraId="3660B7F1">
            <w:pPr>
              <w:widowControl/>
              <w:adjustRightInd w:val="0"/>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(提供有效期内的食品安全责任险合同(保单)及购置发票复印件加盖投标人公章装入响应文件)。没有不得分</w:t>
            </w:r>
          </w:p>
          <w:p w14:paraId="400D7524">
            <w:pPr>
              <w:adjustRightInd w:val="0"/>
              <w:snapToGrid w:val="0"/>
              <w:jc w:val="left"/>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2.投标单位具有有效期的公众责任险，得2分。</w:t>
            </w:r>
          </w:p>
          <w:p w14:paraId="741D7B69">
            <w:pPr>
              <w:adjustRightInd w:val="0"/>
              <w:snapToGrid w:val="0"/>
              <w:jc w:val="left"/>
              <w:rPr>
                <w:rFonts w:ascii="仿宋_GB2312" w:hAnsi="仿宋_GB2312" w:eastAsia="仿宋_GB2312" w:cs="仿宋_GB2312"/>
                <w:color w:val="000000" w:themeColor="text1"/>
                <w:kern w:val="0"/>
                <w:sz w:val="24"/>
              </w:rPr>
            </w:pPr>
            <w:r>
              <w:rPr>
                <w:rFonts w:hint="eastAsia" w:ascii="仿宋_GB2312" w:hAnsi="仿宋_GB2312" w:eastAsia="仿宋_GB2312" w:cs="仿宋_GB2312"/>
                <w:color w:val="000000" w:themeColor="text1"/>
                <w:sz w:val="24"/>
              </w:rPr>
              <w:t>（提供有效期内的公众责任险合同（保单）及购置发票复印件加盖投标人公章放到投标文件中）不满足不得分</w:t>
            </w:r>
          </w:p>
        </w:tc>
        <w:tc>
          <w:tcPr>
            <w:tcW w:w="915" w:type="dxa"/>
            <w:tcBorders>
              <w:top w:val="single" w:color="auto" w:sz="4" w:space="0"/>
              <w:left w:val="single" w:color="auto" w:sz="4" w:space="0"/>
              <w:right w:val="single" w:color="auto" w:sz="4" w:space="0"/>
            </w:tcBorders>
            <w:noWrap/>
            <w:vAlign w:val="center"/>
          </w:tcPr>
          <w:p w14:paraId="78E42655">
            <w:pPr>
              <w:widowControl/>
              <w:adjustRightInd w:val="0"/>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10</w:t>
            </w:r>
          </w:p>
        </w:tc>
      </w:tr>
      <w:tr w14:paraId="19AF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32" w:type="dxa"/>
            <w:vMerge w:val="continue"/>
            <w:tcBorders>
              <w:left w:val="single" w:color="auto" w:sz="4" w:space="0"/>
              <w:right w:val="single" w:color="auto" w:sz="4" w:space="0"/>
            </w:tcBorders>
            <w:noWrap/>
            <w:vAlign w:val="center"/>
          </w:tcPr>
          <w:p w14:paraId="602264F7">
            <w:pPr>
              <w:widowControl/>
              <w:adjustRightInd w:val="0"/>
              <w:snapToGrid w:val="0"/>
              <w:jc w:val="center"/>
              <w:rPr>
                <w:rFonts w:ascii="仿宋_GB2312" w:hAnsi="仿宋_GB2312" w:eastAsia="仿宋_GB2312" w:cs="仿宋_GB2312"/>
                <w:color w:val="000000" w:themeColor="text1"/>
                <w:sz w:val="24"/>
              </w:rPr>
            </w:pPr>
          </w:p>
        </w:tc>
        <w:tc>
          <w:tcPr>
            <w:tcW w:w="1238" w:type="dxa"/>
            <w:tcBorders>
              <w:top w:val="single" w:color="auto" w:sz="4" w:space="0"/>
              <w:left w:val="single" w:color="auto" w:sz="4" w:space="0"/>
              <w:bottom w:val="single" w:color="auto" w:sz="4" w:space="0"/>
              <w:right w:val="single" w:color="auto" w:sz="4" w:space="0"/>
            </w:tcBorders>
            <w:noWrap/>
            <w:vAlign w:val="center"/>
          </w:tcPr>
          <w:p w14:paraId="416B7B45">
            <w:pPr>
              <w:widowControl/>
              <w:adjustRightInd w:val="0"/>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业绩</w:t>
            </w:r>
          </w:p>
        </w:tc>
        <w:tc>
          <w:tcPr>
            <w:tcW w:w="5289" w:type="dxa"/>
            <w:tcBorders>
              <w:top w:val="single" w:color="auto" w:sz="4" w:space="0"/>
              <w:left w:val="single" w:color="auto" w:sz="4" w:space="0"/>
              <w:bottom w:val="single" w:color="auto" w:sz="4" w:space="0"/>
              <w:right w:val="single" w:color="auto" w:sz="4" w:space="0"/>
            </w:tcBorders>
            <w:noWrap/>
            <w:vAlign w:val="center"/>
          </w:tcPr>
          <w:p w14:paraId="66D68F83">
            <w:pPr>
              <w:adjustRightInd w:val="0"/>
              <w:snapToGrid w:val="0"/>
              <w:jc w:val="left"/>
              <w:rPr>
                <w:rFonts w:ascii="仿宋_GB2312" w:hAnsi="仿宋_GB2312" w:eastAsia="仿宋_GB2312" w:cs="仿宋_GB2312"/>
                <w:color w:val="000000" w:themeColor="text1"/>
                <w:kern w:val="0"/>
                <w:sz w:val="24"/>
              </w:rPr>
            </w:pPr>
            <w:r>
              <w:rPr>
                <w:rFonts w:hint="eastAsia" w:ascii="仿宋_GB2312" w:hAnsi="仿宋_GB2312" w:eastAsia="仿宋_GB2312" w:cs="仿宋_GB2312"/>
                <w:color w:val="000000" w:themeColor="text1"/>
                <w:kern w:val="0"/>
                <w:sz w:val="24"/>
              </w:rPr>
              <w:t>投标人具有近三年（2023年1月1日至今）一份类似服务项目业绩得1分，在此基础上每增加一个类似业绩得0.5分，最多得5分。（需提供业绩合同复印件加盖公章放入投标文件中）。</w:t>
            </w:r>
          </w:p>
        </w:tc>
        <w:tc>
          <w:tcPr>
            <w:tcW w:w="915" w:type="dxa"/>
            <w:tcBorders>
              <w:top w:val="single" w:color="auto" w:sz="4" w:space="0"/>
              <w:left w:val="single" w:color="auto" w:sz="4" w:space="0"/>
              <w:bottom w:val="single" w:color="auto" w:sz="4" w:space="0"/>
              <w:right w:val="single" w:color="auto" w:sz="4" w:space="0"/>
            </w:tcBorders>
            <w:noWrap/>
            <w:vAlign w:val="center"/>
          </w:tcPr>
          <w:p w14:paraId="17E60E4F">
            <w:pPr>
              <w:widowControl/>
              <w:adjustRightInd w:val="0"/>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5</w:t>
            </w:r>
          </w:p>
        </w:tc>
      </w:tr>
      <w:tr w14:paraId="00C6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32" w:type="dxa"/>
            <w:tcBorders>
              <w:top w:val="single" w:color="auto" w:sz="4" w:space="0"/>
              <w:left w:val="single" w:color="auto" w:sz="4" w:space="0"/>
              <w:bottom w:val="single" w:color="auto" w:sz="4" w:space="0"/>
              <w:right w:val="single" w:color="auto" w:sz="4" w:space="0"/>
            </w:tcBorders>
            <w:noWrap/>
            <w:vAlign w:val="center"/>
          </w:tcPr>
          <w:p w14:paraId="2264388F">
            <w:pPr>
              <w:widowControl/>
              <w:adjustRightInd w:val="0"/>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合  计</w:t>
            </w:r>
          </w:p>
        </w:tc>
        <w:tc>
          <w:tcPr>
            <w:tcW w:w="1238" w:type="dxa"/>
            <w:tcBorders>
              <w:top w:val="single" w:color="auto" w:sz="4" w:space="0"/>
              <w:left w:val="single" w:color="auto" w:sz="4" w:space="0"/>
              <w:bottom w:val="single" w:color="auto" w:sz="4" w:space="0"/>
              <w:right w:val="single" w:color="auto" w:sz="4" w:space="0"/>
            </w:tcBorders>
            <w:noWrap/>
            <w:vAlign w:val="center"/>
          </w:tcPr>
          <w:p w14:paraId="39BA5133">
            <w:pPr>
              <w:widowControl/>
              <w:adjustRightInd w:val="0"/>
              <w:snapToGrid w:val="0"/>
              <w:jc w:val="center"/>
              <w:rPr>
                <w:rFonts w:ascii="仿宋_GB2312" w:hAnsi="仿宋_GB2312" w:eastAsia="仿宋_GB2312" w:cs="仿宋_GB2312"/>
                <w:color w:val="000000" w:themeColor="text1"/>
                <w:sz w:val="24"/>
              </w:rPr>
            </w:pPr>
          </w:p>
        </w:tc>
        <w:tc>
          <w:tcPr>
            <w:tcW w:w="5289" w:type="dxa"/>
            <w:tcBorders>
              <w:top w:val="single" w:color="auto" w:sz="4" w:space="0"/>
              <w:left w:val="single" w:color="auto" w:sz="4" w:space="0"/>
              <w:bottom w:val="single" w:color="auto" w:sz="4" w:space="0"/>
              <w:right w:val="single" w:color="auto" w:sz="4" w:space="0"/>
            </w:tcBorders>
            <w:noWrap/>
            <w:vAlign w:val="center"/>
          </w:tcPr>
          <w:p w14:paraId="328F9AA5">
            <w:pPr>
              <w:widowControl/>
              <w:adjustRightInd w:val="0"/>
              <w:snapToGrid w:val="0"/>
              <w:jc w:val="center"/>
              <w:rPr>
                <w:rFonts w:ascii="仿宋_GB2312" w:hAnsi="仿宋_GB2312" w:eastAsia="仿宋_GB2312" w:cs="仿宋_GB2312"/>
                <w:color w:val="000000" w:themeColor="text1"/>
                <w:sz w:val="24"/>
              </w:rPr>
            </w:pPr>
          </w:p>
        </w:tc>
        <w:tc>
          <w:tcPr>
            <w:tcW w:w="915" w:type="dxa"/>
            <w:tcBorders>
              <w:top w:val="single" w:color="auto" w:sz="4" w:space="0"/>
              <w:left w:val="single" w:color="auto" w:sz="4" w:space="0"/>
              <w:bottom w:val="single" w:color="auto" w:sz="4" w:space="0"/>
              <w:right w:val="single" w:color="auto" w:sz="4" w:space="0"/>
            </w:tcBorders>
            <w:noWrap/>
            <w:vAlign w:val="center"/>
          </w:tcPr>
          <w:p w14:paraId="048A4331">
            <w:pPr>
              <w:widowControl/>
              <w:adjustRightInd w:val="0"/>
              <w:snapToGrid w:val="0"/>
              <w:jc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100分</w:t>
            </w:r>
          </w:p>
        </w:tc>
      </w:tr>
    </w:tbl>
    <w:p w14:paraId="77B79537">
      <w:pPr>
        <w:pStyle w:val="13"/>
        <w:spacing w:line="360" w:lineRule="auto"/>
        <w:rPr>
          <w:rFonts w:hint="default" w:ascii="仿宋_GB2312" w:hAnsi="仿宋" w:eastAsia="仿宋_GB2312"/>
          <w:color w:val="000000" w:themeColor="text1"/>
          <w:sz w:val="21"/>
          <w:szCs w:val="21"/>
        </w:rPr>
      </w:pPr>
    </w:p>
    <w:p w14:paraId="54B88655">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说明：</w:t>
      </w:r>
    </w:p>
    <w:p w14:paraId="0959F69B">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1、评分的取值按四舍五入法，保留小数点后两位；</w:t>
      </w:r>
    </w:p>
    <w:p w14:paraId="1C227A59">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2、评分标准中要求提供复印件的证明材料须清晰可辨。</w:t>
      </w:r>
    </w:p>
    <w:p w14:paraId="72D413C2">
      <w:pPr>
        <w:pStyle w:val="13"/>
        <w:spacing w:line="360" w:lineRule="auto"/>
        <w:outlineLvl w:val="2"/>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5.7 废标</w:t>
      </w:r>
    </w:p>
    <w:p w14:paraId="66F4E892">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本次采购活动中，出现下列情形之一的，予以废标：</w:t>
      </w:r>
    </w:p>
    <w:p w14:paraId="2EB3A033">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一、对采购文件作实质响应的供应商不足5家的；</w:t>
      </w:r>
    </w:p>
    <w:p w14:paraId="3AB38B44">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二、出现影响采购公正的违法、违规行为的；</w:t>
      </w:r>
    </w:p>
    <w:p w14:paraId="1E92E006">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三、因重大变故，采购任务取消的；</w:t>
      </w:r>
    </w:p>
    <w:p w14:paraId="7DF4BB31">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废标后，采购人将在本溪市公共资源网上公告。对于评审过程中废标的采购项目，评审委员会应当对采购文件是否存在倾向性和歧视性、是否存在不合理条款进行论证，并出具书面论证意见。</w:t>
      </w:r>
    </w:p>
    <w:p w14:paraId="47ED2709">
      <w:pPr>
        <w:pStyle w:val="13"/>
        <w:spacing w:line="360" w:lineRule="auto"/>
        <w:outlineLvl w:val="2"/>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5.8 确认中选供应商名单及结果</w:t>
      </w:r>
    </w:p>
    <w:p w14:paraId="2D0C6034">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一、评审委员会根据评审情况，完成评审报告。</w:t>
      </w:r>
    </w:p>
    <w:p w14:paraId="07856D9F">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二、采购人授权评审委员会直接确定中选供应商。</w:t>
      </w:r>
    </w:p>
    <w:p w14:paraId="4BB661D3">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三、根据确定的中选供应商结果，代理机构在本溪市公共资源交易平台发布采购结果公告。</w:t>
      </w:r>
    </w:p>
    <w:p w14:paraId="77D31E01">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四、采购人不解释采购或未采购原因，不退回响应文件和其他响应资料。</w:t>
      </w:r>
    </w:p>
    <w:p w14:paraId="6ED4EC23">
      <w:pPr>
        <w:pStyle w:val="13"/>
        <w:spacing w:line="360" w:lineRule="auto"/>
        <w:outlineLvl w:val="2"/>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5.9 评审专家在采购活动中承担以下义务</w:t>
      </w:r>
    </w:p>
    <w:p w14:paraId="58F1FAEF">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一、遵守评审工作纪律；</w:t>
      </w:r>
    </w:p>
    <w:p w14:paraId="4D45F169">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二、按照客观、公正、审慎的原则，根据采购文件规定的评审程序、评审方法和评审标准进行独立评审；</w:t>
      </w:r>
    </w:p>
    <w:p w14:paraId="737C0AC6">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三、不得泄露评审文件、评审情况和在评审过程中获悉的商业秘密；</w:t>
      </w:r>
    </w:p>
    <w:p w14:paraId="6392ABD4">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四、及时向采购代理机构报告评审过程中发现的采购人向评审专家做倾向性、误导性的解释或者说明，以及供应商行贿、提供虚假材料或者串通等违法行为；</w:t>
      </w:r>
    </w:p>
    <w:p w14:paraId="6B9C4CEC">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五、发现采购文件内容违反国家有关强制性规定或者采购文件存在歧义、重大缺陷导致评审工作无法进行时，停止评审并向采购人书面说明情况；评审委员会熟悉和理解采购文件以及评审过程中，发现采购文件有下列情形之一的，应当停止评审：</w:t>
      </w:r>
    </w:p>
    <w:p w14:paraId="3643A19B">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（一）采购文件的规定存在歧义、重大缺陷的；</w:t>
      </w:r>
    </w:p>
    <w:p w14:paraId="3B85E06B">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（二）采购文件明显以不合理条件对供应商实行差别待遇或者歧视待遇的；</w:t>
      </w:r>
    </w:p>
    <w:p w14:paraId="7E7182E8">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（三）采购文件规定的评审方法是价格优先法或综合评分法之外的评审方法，或者虽然名称为价格优先法、综合评分法，但实际上不符合规定；</w:t>
      </w:r>
    </w:p>
    <w:p w14:paraId="295467F9">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（四）采购文件将供应商的资格条件列为评分因素的；</w:t>
      </w:r>
    </w:p>
    <w:p w14:paraId="61D34290">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（五）采购文件有违反国家其他有关强制性规定的情形。</w:t>
      </w:r>
    </w:p>
    <w:p w14:paraId="59887F74">
      <w:pPr>
        <w:pStyle w:val="13"/>
        <w:spacing w:line="360" w:lineRule="auto"/>
        <w:outlineLvl w:val="2"/>
        <w:rPr>
          <w:rFonts w:hint="default" w:ascii="仿宋_GB2312" w:hAnsi="仿宋" w:eastAsia="仿宋_GB2312"/>
          <w:color w:val="000000" w:themeColor="text1"/>
          <w:sz w:val="21"/>
          <w:szCs w:val="21"/>
        </w:rPr>
      </w:pPr>
      <w:r>
        <w:rPr>
          <w:rFonts w:ascii="仿宋_GB2312" w:hAnsi="仿宋" w:eastAsia="仿宋_GB2312"/>
          <w:b/>
          <w:color w:val="000000" w:themeColor="text1"/>
          <w:sz w:val="21"/>
          <w:szCs w:val="21"/>
        </w:rPr>
        <w:t>5.10 评审专家在采购活动中应当遵守以下工作纪律</w:t>
      </w:r>
    </w:p>
    <w:p w14:paraId="064EA410">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一、评审前，应当将通讯工具或者相关电子设备交由采购组织单位统一保管。</w:t>
      </w:r>
    </w:p>
    <w:p w14:paraId="0FCB04F4">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二、评审过程中，不得与外界联系，因发生不可预见情况，确实需要与外界联系的， 应当在工作人员监督之下办理。</w:t>
      </w:r>
    </w:p>
    <w:p w14:paraId="26F48FF8">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 xml:space="preserve"> 三、评审过程中，不得干预或者影响正常评审工作，不得发表倾向性、引导性意见， 不得修改或细化采购文件确定的评审程序、评审方法、评审因素和评审标准，不得接受供应商主动提出的澄清和解释，不得征询采购人代表的意见，不得协商评审，不得违反规定的评审格式评分和撰写评审意见，不得拒绝对自己的评审意见签字确认。</w:t>
      </w:r>
    </w:p>
    <w:p w14:paraId="2705C6B9">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四、在评审过程中和评审结束后，不得记录、复制或带走任何评审资料，不得向外界透露评审内容。</w:t>
      </w:r>
    </w:p>
    <w:p w14:paraId="1509D881">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五、遵守有关廉洁自律规定，不得私下接触供应商，不得收受供应商及有关业务单位和个人的财物或好处，不得接受采购组织单位的请托。</w:t>
      </w:r>
    </w:p>
    <w:p w14:paraId="16DE1313">
      <w:pPr>
        <w:pStyle w:val="13"/>
        <w:spacing w:line="360" w:lineRule="auto"/>
        <w:jc w:val="center"/>
        <w:outlineLvl w:val="1"/>
        <w:rPr>
          <w:rFonts w:hint="default" w:ascii="仿宋_GB2312" w:hAnsi="仿宋" w:eastAsia="仿宋_GB2312"/>
          <w:b/>
          <w:color w:val="000000" w:themeColor="text1"/>
          <w:sz w:val="44"/>
          <w:szCs w:val="44"/>
        </w:rPr>
      </w:pPr>
      <w:r>
        <w:rPr>
          <w:rFonts w:ascii="仿宋_GB2312" w:hAnsi="仿宋" w:eastAsia="仿宋_GB2312"/>
          <w:b/>
          <w:color w:val="000000" w:themeColor="text1"/>
          <w:sz w:val="44"/>
          <w:szCs w:val="44"/>
        </w:rPr>
        <w:t>第六章 响应文件格式</w:t>
      </w:r>
    </w:p>
    <w:p w14:paraId="5E42E836">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采购：</w:t>
      </w:r>
    </w:p>
    <w:p w14:paraId="55899489">
      <w:pPr>
        <w:pStyle w:val="13"/>
        <w:spacing w:line="360" w:lineRule="auto"/>
        <w:ind w:firstLine="960"/>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详见附件：封面</w:t>
      </w:r>
    </w:p>
    <w:p w14:paraId="1DDA2B52">
      <w:pPr>
        <w:pStyle w:val="13"/>
        <w:spacing w:line="360" w:lineRule="auto"/>
        <w:ind w:firstLine="960"/>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详见附件：响应函</w:t>
      </w:r>
    </w:p>
    <w:p w14:paraId="25767BDB">
      <w:pPr>
        <w:pStyle w:val="13"/>
        <w:spacing w:line="360" w:lineRule="auto"/>
        <w:ind w:firstLine="960"/>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详见附件：营业执照或单位法人证书或自然人的身份证明复印件</w:t>
      </w:r>
    </w:p>
    <w:p w14:paraId="3A4A4F40">
      <w:pPr>
        <w:pStyle w:val="13"/>
        <w:spacing w:line="360" w:lineRule="auto"/>
        <w:ind w:firstLine="960"/>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详见附件：具备履行合同所必需的设备和专业技术能力声明函</w:t>
      </w:r>
    </w:p>
    <w:p w14:paraId="5554D885">
      <w:pPr>
        <w:pStyle w:val="13"/>
        <w:spacing w:line="360" w:lineRule="auto"/>
        <w:ind w:firstLine="960"/>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详见附件：法定代表人（或非法人组织负责人）授权委托书</w:t>
      </w:r>
    </w:p>
    <w:p w14:paraId="6094C193">
      <w:pPr>
        <w:pStyle w:val="13"/>
        <w:spacing w:line="360" w:lineRule="auto"/>
        <w:ind w:firstLine="960"/>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详见附件：开标时间前六个月内任一个月的依法缴纳社会保障资金的缴款凭据复印件</w:t>
      </w:r>
    </w:p>
    <w:p w14:paraId="0BB1F02D">
      <w:pPr>
        <w:pStyle w:val="13"/>
        <w:spacing w:line="360" w:lineRule="auto"/>
        <w:ind w:firstLine="960"/>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详见附件：开标时间前六个月内任一个月的依法缴纳税收的缴款凭据复印件</w:t>
      </w:r>
    </w:p>
    <w:p w14:paraId="1CEDF0CF">
      <w:pPr>
        <w:pStyle w:val="13"/>
        <w:spacing w:line="360" w:lineRule="auto"/>
        <w:ind w:firstLine="960"/>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详见附件：法定代表人（或非法人组织负责人）身份证明书</w:t>
      </w:r>
    </w:p>
    <w:p w14:paraId="484F16F2">
      <w:pPr>
        <w:pStyle w:val="13"/>
        <w:spacing w:line="360" w:lineRule="auto"/>
        <w:ind w:firstLine="960"/>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详见附件：具有良好的商业信誉和健全的财务会计制度的承诺函</w:t>
      </w:r>
    </w:p>
    <w:p w14:paraId="072D7CE7">
      <w:pPr>
        <w:pStyle w:val="13"/>
        <w:spacing w:line="360" w:lineRule="auto"/>
        <w:ind w:firstLine="960"/>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详见附件：参加政府采购活动前3年内在经营活动中没有重大违法记录的书面声明</w:t>
      </w:r>
    </w:p>
    <w:p w14:paraId="53CFC811">
      <w:pPr>
        <w:pStyle w:val="13"/>
        <w:spacing w:line="360" w:lineRule="auto"/>
        <w:ind w:firstLine="960"/>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详见附件：资格审查要求需要提供的其他材料（未给出格式的）</w:t>
      </w:r>
    </w:p>
    <w:p w14:paraId="34EDC559">
      <w:pPr>
        <w:pStyle w:val="13"/>
        <w:spacing w:line="360" w:lineRule="auto"/>
        <w:ind w:firstLine="960"/>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详见附件：符合审查要求需要提供的其他材料（未给出格式的）</w:t>
      </w:r>
    </w:p>
    <w:p w14:paraId="6DF79BCE">
      <w:pPr>
        <w:pStyle w:val="13"/>
        <w:spacing w:line="360" w:lineRule="auto"/>
        <w:ind w:firstLine="960"/>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详见附件：其他评审项所需内容（未给出格式的）</w:t>
      </w:r>
    </w:p>
    <w:p w14:paraId="042ACD15">
      <w:pPr>
        <w:pStyle w:val="13"/>
        <w:spacing w:line="360" w:lineRule="auto"/>
        <w:ind w:firstLine="960"/>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详见附件：响应报价表</w:t>
      </w:r>
    </w:p>
    <w:p w14:paraId="70143B5A">
      <w:pPr>
        <w:pStyle w:val="13"/>
        <w:spacing w:line="360" w:lineRule="auto"/>
        <w:ind w:firstLine="960"/>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详见附件：服务价格明细表</w:t>
      </w:r>
    </w:p>
    <w:p w14:paraId="4AC69D7A">
      <w:pPr>
        <w:pStyle w:val="13"/>
        <w:spacing w:line="360" w:lineRule="auto"/>
        <w:ind w:firstLine="960"/>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详见附件：商务条款偏离表</w:t>
      </w:r>
    </w:p>
    <w:p w14:paraId="7C7A087F">
      <w:pPr>
        <w:pStyle w:val="13"/>
        <w:spacing w:line="360" w:lineRule="auto"/>
        <w:ind w:firstLine="960"/>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详见附件：供应商关联单位的说明</w:t>
      </w:r>
    </w:p>
    <w:p w14:paraId="65584DC9">
      <w:pPr>
        <w:pStyle w:val="13"/>
        <w:spacing w:line="360" w:lineRule="auto"/>
        <w:ind w:firstLine="960"/>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详见附件：服务需求响应表</w:t>
      </w:r>
    </w:p>
    <w:p w14:paraId="5F8BA965">
      <w:pPr>
        <w:pStyle w:val="13"/>
        <w:spacing w:line="360" w:lineRule="auto"/>
        <w:ind w:firstLine="960"/>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详见附件：供应商类似业绩</w:t>
      </w:r>
    </w:p>
    <w:p w14:paraId="24FFC27A">
      <w:pPr>
        <w:pStyle w:val="13"/>
        <w:spacing w:line="360" w:lineRule="auto"/>
        <w:rPr>
          <w:rFonts w:hint="default" w:ascii="仿宋_GB2312" w:hAnsi="仿宋" w:eastAsia="仿宋_GB2312"/>
          <w:color w:val="000000" w:themeColor="text1"/>
          <w:sz w:val="21"/>
          <w:szCs w:val="21"/>
        </w:rPr>
      </w:pPr>
      <w:r>
        <w:rPr>
          <w:rFonts w:ascii="仿宋_GB2312" w:hAnsi="仿宋" w:eastAsia="仿宋_GB2312"/>
          <w:color w:val="000000" w:themeColor="text1"/>
          <w:sz w:val="21"/>
          <w:szCs w:val="21"/>
        </w:rPr>
        <w:t>以下是附件具体内容，未给出格式的，格式自拟。无顺序要求，投标文件内容及格式具体根据投标单位自行设计。</w:t>
      </w:r>
    </w:p>
    <w:p w14:paraId="343EF946">
      <w:pPr>
        <w:pStyle w:val="13"/>
        <w:spacing w:line="360" w:lineRule="auto"/>
        <w:rPr>
          <w:rFonts w:hint="default" w:ascii="仿宋_GB2312" w:hAnsi="仿宋" w:eastAsia="仿宋_GB2312"/>
          <w:color w:val="000000" w:themeColor="text1"/>
          <w:sz w:val="21"/>
          <w:szCs w:val="21"/>
        </w:rPr>
      </w:pPr>
    </w:p>
    <w:p w14:paraId="14FFAD43">
      <w:pPr>
        <w:pStyle w:val="13"/>
        <w:spacing w:line="360" w:lineRule="auto"/>
        <w:rPr>
          <w:rFonts w:hint="default" w:ascii="仿宋_GB2312" w:hAnsi="仿宋" w:eastAsia="仿宋_GB2312"/>
          <w:color w:val="000000" w:themeColor="text1"/>
          <w:sz w:val="21"/>
          <w:szCs w:val="21"/>
        </w:rPr>
      </w:pPr>
    </w:p>
    <w:p w14:paraId="76CD6ED5">
      <w:pPr>
        <w:pStyle w:val="13"/>
        <w:spacing w:line="360" w:lineRule="auto"/>
        <w:rPr>
          <w:rFonts w:hint="default" w:ascii="仿宋_GB2312" w:hAnsi="仿宋" w:eastAsia="仿宋_GB2312"/>
          <w:color w:val="000000" w:themeColor="text1"/>
          <w:sz w:val="21"/>
          <w:szCs w:val="21"/>
        </w:rPr>
      </w:pPr>
    </w:p>
    <w:p w14:paraId="6ACBF823">
      <w:pPr>
        <w:pStyle w:val="13"/>
        <w:spacing w:line="360" w:lineRule="auto"/>
        <w:rPr>
          <w:rFonts w:hint="default" w:ascii="仿宋_GB2312" w:hAnsi="仿宋" w:eastAsia="仿宋_GB2312"/>
          <w:color w:val="000000" w:themeColor="text1"/>
          <w:sz w:val="21"/>
          <w:szCs w:val="21"/>
        </w:rPr>
      </w:pPr>
    </w:p>
    <w:p w14:paraId="1B761329">
      <w:pPr>
        <w:pStyle w:val="13"/>
        <w:spacing w:line="360" w:lineRule="auto"/>
        <w:rPr>
          <w:rFonts w:hint="default" w:ascii="仿宋_GB2312" w:hAnsi="仿宋" w:eastAsia="仿宋_GB2312"/>
          <w:color w:val="000000" w:themeColor="text1"/>
          <w:sz w:val="21"/>
          <w:szCs w:val="21"/>
        </w:rPr>
      </w:pPr>
    </w:p>
    <w:p w14:paraId="32FB7137">
      <w:pPr>
        <w:pStyle w:val="13"/>
        <w:spacing w:line="360" w:lineRule="auto"/>
        <w:rPr>
          <w:rFonts w:hint="default" w:ascii="仿宋_GB2312" w:hAnsi="仿宋" w:eastAsia="仿宋_GB2312"/>
          <w:color w:val="000000" w:themeColor="text1"/>
          <w:sz w:val="21"/>
          <w:szCs w:val="21"/>
        </w:rPr>
      </w:pPr>
    </w:p>
    <w:p w14:paraId="085FEA03">
      <w:pPr>
        <w:pStyle w:val="13"/>
        <w:spacing w:line="360" w:lineRule="auto"/>
        <w:rPr>
          <w:rFonts w:hint="default" w:ascii="仿宋_GB2312" w:hAnsi="仿宋" w:eastAsia="仿宋_GB2312"/>
          <w:color w:val="000000" w:themeColor="text1"/>
          <w:sz w:val="21"/>
          <w:szCs w:val="21"/>
        </w:rPr>
      </w:pPr>
    </w:p>
    <w:p w14:paraId="5B976EB3">
      <w:pPr>
        <w:pStyle w:val="13"/>
        <w:spacing w:line="360" w:lineRule="auto"/>
        <w:rPr>
          <w:rFonts w:hint="default" w:ascii="仿宋_GB2312" w:hAnsi="仿宋" w:eastAsia="仿宋_GB2312"/>
          <w:color w:val="000000" w:themeColor="text1"/>
          <w:sz w:val="21"/>
          <w:szCs w:val="21"/>
        </w:rPr>
      </w:pPr>
    </w:p>
    <w:p w14:paraId="22FE8F74">
      <w:pPr>
        <w:pStyle w:val="13"/>
        <w:spacing w:line="360" w:lineRule="auto"/>
        <w:rPr>
          <w:rFonts w:hint="default" w:ascii="仿宋_GB2312" w:hAnsi="仿宋" w:eastAsia="仿宋_GB2312"/>
          <w:color w:val="000000" w:themeColor="text1"/>
          <w:sz w:val="21"/>
          <w:szCs w:val="21"/>
        </w:rPr>
      </w:pPr>
    </w:p>
    <w:p w14:paraId="23049526">
      <w:pPr>
        <w:pStyle w:val="13"/>
        <w:spacing w:line="360" w:lineRule="auto"/>
        <w:rPr>
          <w:rFonts w:hint="default" w:ascii="仿宋_GB2312" w:hAnsi="仿宋" w:eastAsia="仿宋_GB2312"/>
          <w:color w:val="000000" w:themeColor="text1"/>
          <w:sz w:val="21"/>
          <w:szCs w:val="21"/>
        </w:rPr>
      </w:pPr>
    </w:p>
    <w:p w14:paraId="76B08A67">
      <w:pPr>
        <w:pStyle w:val="13"/>
        <w:spacing w:line="360" w:lineRule="auto"/>
        <w:rPr>
          <w:rFonts w:hint="default" w:ascii="仿宋_GB2312" w:hAnsi="仿宋" w:eastAsia="仿宋_GB2312"/>
          <w:color w:val="000000" w:themeColor="text1"/>
          <w:sz w:val="21"/>
          <w:szCs w:val="21"/>
        </w:rPr>
      </w:pPr>
    </w:p>
    <w:p w14:paraId="15CFD6E7">
      <w:pPr>
        <w:pStyle w:val="13"/>
        <w:spacing w:line="360" w:lineRule="auto"/>
        <w:rPr>
          <w:rFonts w:hint="default" w:ascii="仿宋_GB2312" w:hAnsi="仿宋" w:eastAsia="仿宋_GB2312"/>
          <w:color w:val="000000" w:themeColor="text1"/>
          <w:sz w:val="21"/>
          <w:szCs w:val="21"/>
        </w:rPr>
      </w:pPr>
    </w:p>
    <w:p w14:paraId="3B4A1057">
      <w:pPr>
        <w:pStyle w:val="13"/>
        <w:spacing w:line="360" w:lineRule="auto"/>
        <w:rPr>
          <w:rFonts w:hint="default" w:ascii="仿宋_GB2312" w:hAnsi="仿宋" w:eastAsia="仿宋_GB2312"/>
          <w:color w:val="000000" w:themeColor="text1"/>
          <w:sz w:val="21"/>
          <w:szCs w:val="21"/>
        </w:rPr>
      </w:pPr>
    </w:p>
    <w:p w14:paraId="148A315D">
      <w:pPr>
        <w:pStyle w:val="13"/>
        <w:spacing w:line="360" w:lineRule="auto"/>
        <w:rPr>
          <w:rFonts w:hint="default" w:ascii="仿宋_GB2312" w:hAnsi="仿宋" w:eastAsia="仿宋_GB2312"/>
          <w:color w:val="000000" w:themeColor="text1"/>
          <w:sz w:val="21"/>
          <w:szCs w:val="21"/>
        </w:rPr>
      </w:pPr>
    </w:p>
    <w:p w14:paraId="617294BB">
      <w:pPr>
        <w:pStyle w:val="13"/>
        <w:spacing w:line="360" w:lineRule="auto"/>
        <w:rPr>
          <w:rFonts w:hint="default" w:ascii="仿宋_GB2312" w:hAnsi="仿宋" w:eastAsia="仿宋_GB2312"/>
          <w:color w:val="000000" w:themeColor="text1"/>
          <w:sz w:val="21"/>
          <w:szCs w:val="21"/>
        </w:rPr>
      </w:pPr>
    </w:p>
    <w:p w14:paraId="639FFFA6">
      <w:pPr>
        <w:pStyle w:val="13"/>
        <w:spacing w:line="360" w:lineRule="auto"/>
        <w:rPr>
          <w:rFonts w:hint="default" w:ascii="仿宋_GB2312" w:hAnsi="仿宋" w:eastAsia="仿宋_GB2312"/>
          <w:color w:val="000000" w:themeColor="text1"/>
          <w:sz w:val="21"/>
          <w:szCs w:val="21"/>
        </w:rPr>
      </w:pPr>
    </w:p>
    <w:p w14:paraId="5D423C79">
      <w:pPr>
        <w:pStyle w:val="13"/>
        <w:spacing w:line="360" w:lineRule="auto"/>
        <w:rPr>
          <w:rFonts w:hint="default" w:ascii="仿宋_GB2312" w:hAnsi="仿宋" w:eastAsia="仿宋_GB2312"/>
          <w:color w:val="000000" w:themeColor="text1"/>
          <w:sz w:val="21"/>
          <w:szCs w:val="21"/>
        </w:rPr>
      </w:pPr>
    </w:p>
    <w:p w14:paraId="6D54B2FD">
      <w:pPr>
        <w:pStyle w:val="13"/>
        <w:spacing w:line="360" w:lineRule="auto"/>
        <w:rPr>
          <w:rFonts w:hint="default" w:ascii="仿宋_GB2312" w:hAnsi="仿宋" w:eastAsia="仿宋_GB2312"/>
          <w:color w:val="000000" w:themeColor="text1"/>
          <w:sz w:val="21"/>
          <w:szCs w:val="21"/>
        </w:rPr>
      </w:pPr>
    </w:p>
    <w:p w14:paraId="11536DDF">
      <w:pPr>
        <w:pStyle w:val="13"/>
        <w:spacing w:line="360" w:lineRule="auto"/>
        <w:rPr>
          <w:rFonts w:hint="default" w:ascii="仿宋_GB2312" w:hAnsi="仿宋" w:eastAsia="仿宋_GB2312"/>
          <w:color w:val="000000" w:themeColor="text1"/>
          <w:sz w:val="21"/>
          <w:szCs w:val="21"/>
        </w:rPr>
      </w:pPr>
    </w:p>
    <w:p w14:paraId="5017BE5F">
      <w:pPr>
        <w:pStyle w:val="13"/>
        <w:spacing w:line="360" w:lineRule="auto"/>
        <w:rPr>
          <w:rFonts w:hint="default" w:ascii="仿宋_GB2312" w:hAnsi="仿宋" w:eastAsia="仿宋_GB2312"/>
          <w:color w:val="000000" w:themeColor="text1"/>
          <w:sz w:val="21"/>
          <w:szCs w:val="21"/>
        </w:rPr>
      </w:pPr>
    </w:p>
    <w:p w14:paraId="6654FA25">
      <w:pPr>
        <w:pStyle w:val="13"/>
        <w:spacing w:line="360" w:lineRule="auto"/>
        <w:rPr>
          <w:rFonts w:hint="default" w:ascii="仿宋_GB2312" w:hAnsi="仿宋" w:eastAsia="仿宋_GB2312"/>
          <w:color w:val="000000" w:themeColor="text1"/>
          <w:sz w:val="21"/>
          <w:szCs w:val="21"/>
        </w:rPr>
      </w:pPr>
    </w:p>
    <w:p w14:paraId="2DBC83EF">
      <w:pPr>
        <w:pStyle w:val="13"/>
        <w:spacing w:line="360" w:lineRule="auto"/>
        <w:rPr>
          <w:rFonts w:hint="default" w:ascii="仿宋_GB2312" w:hAnsi="仿宋" w:eastAsia="仿宋_GB2312"/>
          <w:color w:val="000000" w:themeColor="text1"/>
          <w:sz w:val="21"/>
          <w:szCs w:val="21"/>
        </w:rPr>
      </w:pPr>
    </w:p>
    <w:p w14:paraId="566D0472">
      <w:pPr>
        <w:pStyle w:val="13"/>
        <w:spacing w:line="360" w:lineRule="auto"/>
        <w:rPr>
          <w:rFonts w:hint="default" w:ascii="仿宋_GB2312" w:hAnsi="仿宋" w:eastAsia="仿宋_GB2312"/>
          <w:color w:val="000000" w:themeColor="text1"/>
          <w:sz w:val="21"/>
          <w:szCs w:val="21"/>
        </w:rPr>
      </w:pPr>
    </w:p>
    <w:p w14:paraId="0E9EAC3F">
      <w:pPr>
        <w:pStyle w:val="13"/>
        <w:spacing w:line="360" w:lineRule="auto"/>
        <w:rPr>
          <w:rFonts w:hint="default" w:ascii="仿宋_GB2312" w:hAnsi="仿宋" w:eastAsia="仿宋_GB2312"/>
          <w:color w:val="000000" w:themeColor="text1"/>
          <w:sz w:val="21"/>
          <w:szCs w:val="21"/>
        </w:rPr>
      </w:pPr>
    </w:p>
    <w:p w14:paraId="7B141F64">
      <w:pPr>
        <w:pStyle w:val="13"/>
        <w:spacing w:line="360" w:lineRule="auto"/>
        <w:rPr>
          <w:rFonts w:hint="default" w:ascii="仿宋_GB2312" w:hAnsi="仿宋" w:eastAsia="仿宋_GB2312"/>
          <w:color w:val="000000" w:themeColor="text1"/>
          <w:sz w:val="21"/>
          <w:szCs w:val="21"/>
        </w:rPr>
      </w:pPr>
    </w:p>
    <w:p w14:paraId="345A2DBB">
      <w:pPr>
        <w:pStyle w:val="13"/>
        <w:spacing w:line="360" w:lineRule="auto"/>
        <w:rPr>
          <w:rFonts w:hint="default" w:ascii="仿宋_GB2312" w:hAnsi="仿宋" w:eastAsia="仿宋_GB2312"/>
          <w:color w:val="000000" w:themeColor="text1"/>
          <w:sz w:val="21"/>
          <w:szCs w:val="21"/>
        </w:rPr>
      </w:pPr>
    </w:p>
    <w:p w14:paraId="76BB6822">
      <w:pPr>
        <w:pStyle w:val="13"/>
        <w:spacing w:line="360" w:lineRule="auto"/>
        <w:rPr>
          <w:rFonts w:hint="default" w:ascii="仿宋_GB2312" w:hAnsi="仿宋" w:eastAsia="仿宋_GB2312"/>
          <w:color w:val="000000" w:themeColor="text1"/>
          <w:sz w:val="21"/>
          <w:szCs w:val="21"/>
        </w:rPr>
      </w:pPr>
    </w:p>
    <w:p w14:paraId="78E96A1F">
      <w:pPr>
        <w:pStyle w:val="13"/>
        <w:spacing w:line="360" w:lineRule="auto"/>
        <w:rPr>
          <w:rFonts w:hint="default" w:ascii="仿宋_GB2312" w:hAnsi="仿宋" w:eastAsia="仿宋_GB2312"/>
          <w:color w:val="000000" w:themeColor="text1"/>
          <w:sz w:val="21"/>
          <w:szCs w:val="21"/>
        </w:rPr>
      </w:pPr>
    </w:p>
    <w:p w14:paraId="1599FF41">
      <w:pPr>
        <w:pStyle w:val="13"/>
        <w:spacing w:line="360" w:lineRule="auto"/>
        <w:rPr>
          <w:rFonts w:hint="default" w:ascii="仿宋_GB2312" w:hAnsi="仿宋" w:eastAsia="仿宋_GB2312"/>
          <w:color w:val="000000" w:themeColor="text1"/>
          <w:sz w:val="30"/>
          <w:szCs w:val="30"/>
        </w:rPr>
      </w:pPr>
    </w:p>
    <w:p w14:paraId="2AE5BFE7">
      <w:pPr>
        <w:pStyle w:val="13"/>
        <w:spacing w:line="360" w:lineRule="auto"/>
        <w:jc w:val="center"/>
        <w:rPr>
          <w:rFonts w:hint="default" w:ascii="仿宋_GB2312" w:hAnsi="仿宋" w:eastAsia="仿宋_GB2312"/>
          <w:color w:val="000000" w:themeColor="text1"/>
          <w:sz w:val="30"/>
          <w:szCs w:val="30"/>
        </w:rPr>
      </w:pPr>
      <w:r>
        <w:rPr>
          <w:rFonts w:ascii="仿宋_GB2312" w:hAnsi="仿宋" w:eastAsia="仿宋_GB2312"/>
          <w:color w:val="000000" w:themeColor="text1"/>
          <w:sz w:val="30"/>
          <w:szCs w:val="30"/>
        </w:rPr>
        <w:t>封面</w:t>
      </w:r>
    </w:p>
    <w:p w14:paraId="4354C7A2">
      <w:pPr>
        <w:pStyle w:val="5"/>
        <w:spacing w:line="360" w:lineRule="auto"/>
        <w:rPr>
          <w:rFonts w:ascii="仿宋_GB2312" w:hAnsi="仿宋" w:eastAsia="仿宋_GB2312" w:cs="仿宋_GB2312"/>
          <w:color w:val="000000" w:themeColor="text1"/>
          <w:szCs w:val="21"/>
        </w:rPr>
      </w:pPr>
    </w:p>
    <w:p w14:paraId="3876B12F">
      <w:pPr>
        <w:spacing w:line="360" w:lineRule="auto"/>
        <w:jc w:val="center"/>
        <w:rPr>
          <w:rFonts w:ascii="仿宋_GB2312" w:hAnsi="仿宋" w:eastAsia="仿宋_GB2312" w:cs="仿宋_GB2312"/>
          <w:color w:val="000000" w:themeColor="text1"/>
          <w:spacing w:val="78"/>
          <w:szCs w:val="21"/>
        </w:rPr>
      </w:pPr>
    </w:p>
    <w:p w14:paraId="55C771F7">
      <w:pPr>
        <w:spacing w:line="360" w:lineRule="auto"/>
        <w:jc w:val="center"/>
        <w:rPr>
          <w:rFonts w:ascii="仿宋_GB2312" w:hAnsi="仿宋" w:eastAsia="仿宋_GB2312" w:cs="仿宋_GB2312"/>
          <w:b/>
          <w:bCs/>
          <w:color w:val="000000" w:themeColor="text1"/>
          <w:spacing w:val="78"/>
          <w:sz w:val="44"/>
          <w:szCs w:val="44"/>
        </w:rPr>
      </w:pPr>
      <w:r>
        <w:rPr>
          <w:rFonts w:hint="eastAsia" w:ascii="仿宋_GB2312" w:hAnsi="仿宋" w:eastAsia="仿宋_GB2312" w:cs="仿宋_GB2312"/>
          <w:b/>
          <w:bCs/>
          <w:color w:val="000000" w:themeColor="text1"/>
          <w:spacing w:val="78"/>
          <w:sz w:val="44"/>
          <w:szCs w:val="44"/>
        </w:rPr>
        <w:t>采购（响应）文件</w:t>
      </w:r>
    </w:p>
    <w:p w14:paraId="5B9C9C58">
      <w:pPr>
        <w:spacing w:line="360" w:lineRule="auto"/>
        <w:jc w:val="center"/>
        <w:rPr>
          <w:rFonts w:ascii="仿宋_GB2312" w:hAnsi="仿宋" w:eastAsia="仿宋_GB2312" w:cs="仿宋_GB2312"/>
          <w:bCs/>
          <w:color w:val="000000" w:themeColor="text1"/>
          <w:szCs w:val="21"/>
        </w:rPr>
      </w:pPr>
    </w:p>
    <w:p w14:paraId="54A64FE5">
      <w:pPr>
        <w:pStyle w:val="5"/>
        <w:spacing w:line="360" w:lineRule="auto"/>
        <w:rPr>
          <w:rFonts w:ascii="仿宋_GB2312" w:hAnsi="仿宋" w:eastAsia="仿宋_GB2312" w:cs="仿宋_GB2312"/>
          <w:bCs/>
          <w:color w:val="000000" w:themeColor="text1"/>
          <w:szCs w:val="21"/>
        </w:rPr>
      </w:pPr>
    </w:p>
    <w:p w14:paraId="64E7001D">
      <w:pPr>
        <w:spacing w:line="360" w:lineRule="auto"/>
        <w:rPr>
          <w:rFonts w:ascii="仿宋_GB2312" w:hAnsi="仿宋" w:eastAsia="仿宋_GB2312"/>
          <w:color w:val="000000" w:themeColor="text1"/>
          <w:szCs w:val="21"/>
        </w:rPr>
      </w:pPr>
    </w:p>
    <w:p w14:paraId="3867365A">
      <w:pPr>
        <w:spacing w:line="360" w:lineRule="auto"/>
        <w:rPr>
          <w:rFonts w:ascii="仿宋_GB2312" w:hAnsi="仿宋" w:eastAsia="仿宋_GB2312"/>
          <w:color w:val="000000" w:themeColor="text1"/>
          <w:szCs w:val="21"/>
        </w:rPr>
      </w:pPr>
    </w:p>
    <w:p w14:paraId="09978C17">
      <w:pPr>
        <w:spacing w:line="360" w:lineRule="auto"/>
        <w:rPr>
          <w:rFonts w:ascii="仿宋_GB2312" w:hAnsi="仿宋" w:eastAsia="仿宋_GB2312"/>
          <w:color w:val="000000" w:themeColor="text1"/>
          <w:szCs w:val="21"/>
        </w:rPr>
      </w:pPr>
    </w:p>
    <w:p w14:paraId="7E3D060D">
      <w:pPr>
        <w:spacing w:line="360" w:lineRule="auto"/>
        <w:rPr>
          <w:rFonts w:ascii="仿宋_GB2312" w:hAnsi="仿宋" w:eastAsia="仿宋_GB2312"/>
          <w:color w:val="000000" w:themeColor="text1"/>
          <w:szCs w:val="21"/>
        </w:rPr>
      </w:pPr>
    </w:p>
    <w:p w14:paraId="6DE5C4A5">
      <w:pPr>
        <w:spacing w:line="360" w:lineRule="auto"/>
        <w:rPr>
          <w:rFonts w:ascii="仿宋_GB2312" w:hAnsi="仿宋" w:eastAsia="仿宋_GB2312"/>
          <w:color w:val="000000" w:themeColor="text1"/>
          <w:szCs w:val="21"/>
        </w:rPr>
      </w:pPr>
    </w:p>
    <w:p w14:paraId="0A221722">
      <w:pPr>
        <w:spacing w:line="360" w:lineRule="auto"/>
        <w:jc w:val="center"/>
        <w:rPr>
          <w:rFonts w:ascii="仿宋_GB2312" w:hAnsi="仿宋" w:eastAsia="仿宋_GB2312" w:cs="仿宋_GB2312"/>
          <w:bCs/>
          <w:color w:val="000000" w:themeColor="text1"/>
          <w:szCs w:val="21"/>
        </w:rPr>
      </w:pPr>
    </w:p>
    <w:p w14:paraId="3273DE30">
      <w:pPr>
        <w:spacing w:line="360" w:lineRule="auto"/>
        <w:ind w:left="630" w:leftChars="300"/>
        <w:rPr>
          <w:rFonts w:ascii="仿宋_GB2312" w:hAnsi="仿宋" w:eastAsia="仿宋_GB2312" w:cs="仿宋_GB2312"/>
          <w:b/>
          <w:bCs/>
          <w:color w:val="000000" w:themeColor="text1"/>
          <w:szCs w:val="21"/>
        </w:rPr>
      </w:pPr>
      <w:r>
        <w:rPr>
          <w:rFonts w:hint="eastAsia" w:ascii="仿宋_GB2312" w:hAnsi="仿宋" w:eastAsia="仿宋_GB2312" w:cs="仿宋_GB2312"/>
          <w:b/>
          <w:bCs/>
          <w:color w:val="000000" w:themeColor="text1"/>
          <w:szCs w:val="21"/>
        </w:rPr>
        <w:t>采购项目名称：</w:t>
      </w:r>
      <w:r>
        <w:rPr>
          <w:rFonts w:hint="eastAsia" w:ascii="仿宋_GB2312" w:hAnsi="仿宋" w:eastAsia="仿宋_GB2312" w:cs="仿宋_GB2312"/>
          <w:color w:val="000000" w:themeColor="text1"/>
          <w:szCs w:val="21"/>
        </w:rPr>
        <w:t>{，采购项目名称}</w:t>
      </w:r>
    </w:p>
    <w:p w14:paraId="5E5A7F18">
      <w:pPr>
        <w:spacing w:line="360" w:lineRule="auto"/>
        <w:ind w:left="630" w:leftChars="300"/>
        <w:rPr>
          <w:rFonts w:ascii="仿宋_GB2312" w:hAnsi="仿宋" w:eastAsia="仿宋_GB2312" w:cs="仿宋_GB2312"/>
          <w:color w:val="000000" w:themeColor="text1"/>
          <w:szCs w:val="21"/>
        </w:rPr>
      </w:pPr>
      <w:r>
        <w:rPr>
          <w:rFonts w:hint="eastAsia" w:ascii="仿宋_GB2312" w:hAnsi="仿宋" w:eastAsia="仿宋_GB2312" w:cs="仿宋_GB2312"/>
          <w:b/>
          <w:bCs/>
          <w:color w:val="000000" w:themeColor="text1"/>
          <w:szCs w:val="21"/>
        </w:rPr>
        <w:t>采购项目编号：</w:t>
      </w:r>
      <w:r>
        <w:rPr>
          <w:rFonts w:hint="eastAsia" w:ascii="仿宋_GB2312" w:hAnsi="仿宋" w:eastAsia="仿宋_GB2312" w:cs="仿宋_GB2312"/>
          <w:color w:val="000000" w:themeColor="text1"/>
          <w:szCs w:val="21"/>
        </w:rPr>
        <w:t>{，采购项目编号}</w:t>
      </w:r>
    </w:p>
    <w:p w14:paraId="542A64AA">
      <w:pPr>
        <w:spacing w:line="360" w:lineRule="auto"/>
        <w:rPr>
          <w:rFonts w:ascii="仿宋_GB2312" w:hAnsi="仿宋" w:eastAsia="仿宋_GB2312" w:cs="仿宋_GB2312"/>
          <w:b/>
          <w:bCs/>
          <w:color w:val="000000" w:themeColor="text1"/>
          <w:szCs w:val="21"/>
        </w:rPr>
      </w:pPr>
    </w:p>
    <w:p w14:paraId="0E3B1BC2">
      <w:pPr>
        <w:pStyle w:val="5"/>
        <w:spacing w:line="360" w:lineRule="auto"/>
        <w:rPr>
          <w:rFonts w:ascii="仿宋_GB2312" w:hAnsi="仿宋" w:eastAsia="仿宋_GB2312" w:cs="仿宋_GB2312"/>
          <w:b/>
          <w:bCs/>
          <w:color w:val="000000" w:themeColor="text1"/>
          <w:szCs w:val="21"/>
        </w:rPr>
      </w:pPr>
    </w:p>
    <w:p w14:paraId="1B86D940">
      <w:pPr>
        <w:spacing w:line="360" w:lineRule="auto"/>
        <w:rPr>
          <w:rFonts w:ascii="仿宋_GB2312" w:hAnsi="仿宋" w:eastAsia="仿宋_GB2312"/>
          <w:color w:val="000000" w:themeColor="text1"/>
          <w:szCs w:val="21"/>
        </w:rPr>
      </w:pPr>
    </w:p>
    <w:p w14:paraId="12303229">
      <w:pPr>
        <w:spacing w:line="360" w:lineRule="auto"/>
        <w:rPr>
          <w:rFonts w:ascii="仿宋_GB2312" w:hAnsi="仿宋" w:eastAsia="仿宋_GB2312" w:cs="仿宋_GB2312"/>
          <w:b/>
          <w:bCs/>
          <w:color w:val="000000" w:themeColor="text1"/>
          <w:szCs w:val="21"/>
        </w:rPr>
      </w:pPr>
    </w:p>
    <w:p w14:paraId="51897D08">
      <w:pPr>
        <w:spacing w:line="360" w:lineRule="auto"/>
        <w:ind w:firstLine="413" w:firstLineChars="196"/>
        <w:jc w:val="center"/>
        <w:rPr>
          <w:rFonts w:ascii="仿宋_GB2312" w:hAnsi="仿宋" w:eastAsia="仿宋_GB2312" w:cs="仿宋_GB2312"/>
          <w:b/>
          <w:bCs/>
          <w:color w:val="000000" w:themeColor="text1"/>
          <w:szCs w:val="21"/>
        </w:rPr>
      </w:pPr>
      <w:r>
        <w:rPr>
          <w:rFonts w:hint="eastAsia" w:ascii="仿宋_GB2312" w:hAnsi="仿宋" w:eastAsia="仿宋_GB2312" w:cs="仿宋_GB2312"/>
          <w:b/>
          <w:bCs/>
          <w:color w:val="000000" w:themeColor="text1"/>
          <w:szCs w:val="21"/>
        </w:rPr>
        <w:t>供应商名称：</w:t>
      </w:r>
      <w:r>
        <w:rPr>
          <w:rFonts w:hint="eastAsia" w:ascii="仿宋_GB2312" w:hAnsi="仿宋" w:eastAsia="仿宋_GB2312" w:cs="仿宋_GB2312"/>
          <w:color w:val="000000" w:themeColor="text1"/>
          <w:szCs w:val="21"/>
        </w:rPr>
        <w:t>{供应商名称}</w:t>
      </w:r>
    </w:p>
    <w:p w14:paraId="30333904">
      <w:pPr>
        <w:spacing w:line="360" w:lineRule="auto"/>
        <w:ind w:firstLine="373" w:firstLineChars="177"/>
        <w:jc w:val="center"/>
        <w:rPr>
          <w:rFonts w:ascii="仿宋_GB2312" w:hAnsi="仿宋" w:eastAsia="仿宋_GB2312" w:cs="仿宋_GB2312"/>
          <w:color w:val="000000" w:themeColor="text1"/>
          <w:szCs w:val="21"/>
        </w:rPr>
      </w:pPr>
      <w:r>
        <w:rPr>
          <w:rFonts w:hint="eastAsia" w:ascii="仿宋_GB2312" w:hAnsi="仿宋" w:eastAsia="仿宋_GB2312" w:cs="仿宋_GB2312"/>
          <w:b/>
          <w:bCs/>
          <w:color w:val="000000" w:themeColor="text1"/>
          <w:szCs w:val="21"/>
        </w:rPr>
        <w:t>日 期：</w:t>
      </w:r>
      <w:r>
        <w:rPr>
          <w:rFonts w:hint="eastAsia" w:ascii="仿宋_GB2312" w:hAnsi="仿宋" w:eastAsia="仿宋_GB2312" w:cs="仿宋_GB2312"/>
          <w:color w:val="000000" w:themeColor="text1"/>
          <w:szCs w:val="21"/>
        </w:rPr>
        <w:t>{20XX年XX月XX日}</w:t>
      </w:r>
    </w:p>
    <w:p w14:paraId="721C5906">
      <w:pPr>
        <w:keepNext/>
        <w:keepLines/>
        <w:numPr>
          <w:ilvl w:val="1"/>
          <w:numId w:val="0"/>
        </w:numPr>
        <w:spacing w:before="260" w:after="260" w:line="360" w:lineRule="auto"/>
        <w:outlineLvl w:val="1"/>
        <w:rPr>
          <w:rFonts w:ascii="仿宋_GB2312" w:hAnsi="仿宋" w:eastAsia="仿宋_GB2312"/>
          <w:color w:val="000000" w:themeColor="text1"/>
          <w:szCs w:val="21"/>
        </w:rPr>
      </w:pPr>
      <w:bookmarkStart w:id="1" w:name="_Toc32642"/>
      <w:r>
        <w:rPr>
          <w:rFonts w:ascii="仿宋_GB2312" w:hAnsi="仿宋" w:eastAsia="仿宋_GB2312"/>
          <w:color w:val="000000" w:themeColor="text1"/>
          <w:szCs w:val="21"/>
        </w:rPr>
        <w:br w:type="page"/>
      </w:r>
    </w:p>
    <w:p w14:paraId="64716CAB">
      <w:pPr>
        <w:keepNext/>
        <w:keepLines/>
        <w:numPr>
          <w:ilvl w:val="1"/>
          <w:numId w:val="0"/>
        </w:numPr>
        <w:spacing w:before="260" w:after="260" w:line="360" w:lineRule="auto"/>
        <w:jc w:val="center"/>
        <w:outlineLvl w:val="1"/>
        <w:rPr>
          <w:rFonts w:ascii="仿宋_GB2312" w:hAnsi="仿宋" w:eastAsia="仿宋_GB2312" w:cs="宋体"/>
          <w:b/>
          <w:color w:val="000000" w:themeColor="text1"/>
          <w:sz w:val="28"/>
          <w:szCs w:val="28"/>
        </w:rPr>
      </w:pPr>
      <w:r>
        <w:rPr>
          <w:rFonts w:hint="eastAsia" w:ascii="仿宋_GB2312" w:hAnsi="仿宋" w:eastAsia="仿宋_GB2312" w:cs="宋体"/>
          <w:b/>
          <w:color w:val="000000" w:themeColor="text1"/>
          <w:sz w:val="28"/>
          <w:szCs w:val="28"/>
        </w:rPr>
        <w:t>响应函</w:t>
      </w:r>
      <w:bookmarkEnd w:id="1"/>
    </w:p>
    <w:p w14:paraId="587DB785">
      <w:pPr>
        <w:spacing w:after="120" w:line="360" w:lineRule="auto"/>
        <w:rPr>
          <w:rFonts w:ascii="仿宋_GB2312" w:hAnsi="仿宋" w:eastAsia="仿宋_GB2312" w:cs="Times New Roman"/>
          <w:bCs/>
          <w:color w:val="000000" w:themeColor="text1"/>
          <w:szCs w:val="21"/>
        </w:rPr>
      </w:pPr>
      <w:r>
        <w:rPr>
          <w:rFonts w:hint="eastAsia" w:ascii="仿宋_GB2312" w:hAnsi="仿宋" w:eastAsia="仿宋_GB2312" w:cs="Times New Roman"/>
          <w:bCs/>
          <w:color w:val="000000" w:themeColor="text1"/>
          <w:szCs w:val="21"/>
        </w:rPr>
        <w:t>致：{代理机构名称}</w:t>
      </w:r>
    </w:p>
    <w:p w14:paraId="0313A949">
      <w:pPr>
        <w:spacing w:after="120" w:line="360" w:lineRule="auto"/>
        <w:ind w:firstLine="560"/>
        <w:rPr>
          <w:rFonts w:ascii="仿宋_GB2312" w:hAnsi="仿宋" w:eastAsia="仿宋_GB2312" w:cs="Times New Roman"/>
          <w:bCs/>
          <w:color w:val="000000" w:themeColor="text1"/>
          <w:szCs w:val="21"/>
        </w:rPr>
      </w:pPr>
      <w:r>
        <w:rPr>
          <w:rFonts w:hint="eastAsia" w:ascii="仿宋_GB2312" w:hAnsi="仿宋" w:eastAsia="仿宋_GB2312" w:cs="Times New Roman"/>
          <w:bCs/>
          <w:color w:val="000000" w:themeColor="text1"/>
          <w:szCs w:val="21"/>
        </w:rPr>
        <w:t>我单位作为{采购项目名称}（项目编号：{采购项目编号}）的响应供应商，自愿参与本项目采购，充分理解采购文件的要求，在此郑重声明及承诺：</w:t>
      </w:r>
    </w:p>
    <w:p w14:paraId="5F6063F7">
      <w:pPr>
        <w:spacing w:line="360" w:lineRule="auto"/>
        <w:rPr>
          <w:rFonts w:ascii="仿宋_GB2312" w:hAnsi="仿宋" w:eastAsia="仿宋_GB2312" w:cs="Times New Roman"/>
          <w:color w:val="000000" w:themeColor="text1"/>
          <w:szCs w:val="21"/>
        </w:rPr>
      </w:pPr>
    </w:p>
    <w:p w14:paraId="28667790">
      <w:pPr>
        <w:numPr>
          <w:ilvl w:val="0"/>
          <w:numId w:val="2"/>
        </w:numPr>
        <w:spacing w:after="120" w:line="360" w:lineRule="auto"/>
        <w:ind w:left="60"/>
        <w:rPr>
          <w:rFonts w:ascii="仿宋_GB2312" w:hAnsi="仿宋" w:eastAsia="仿宋_GB2312" w:cs="Times New Roman"/>
          <w:color w:val="000000" w:themeColor="text1"/>
          <w:szCs w:val="21"/>
        </w:rPr>
      </w:pPr>
      <w:r>
        <w:rPr>
          <w:rFonts w:hint="eastAsia" w:ascii="仿宋_GB2312" w:hAnsi="仿宋" w:eastAsia="仿宋_GB2312" w:cs="Times New Roman"/>
          <w:color w:val="000000" w:themeColor="text1"/>
          <w:szCs w:val="21"/>
        </w:rPr>
        <w:t>我单位具有独立承担民事责任的能力；</w:t>
      </w:r>
    </w:p>
    <w:p w14:paraId="62BFC31B">
      <w:pPr>
        <w:numPr>
          <w:ilvl w:val="0"/>
          <w:numId w:val="2"/>
        </w:numPr>
        <w:spacing w:after="120" w:line="360" w:lineRule="auto"/>
        <w:ind w:left="60"/>
        <w:rPr>
          <w:rFonts w:ascii="仿宋_GB2312" w:hAnsi="仿宋" w:eastAsia="仿宋_GB2312" w:cs="Times New Roman"/>
          <w:color w:val="000000" w:themeColor="text1"/>
          <w:szCs w:val="21"/>
        </w:rPr>
      </w:pPr>
      <w:r>
        <w:rPr>
          <w:rFonts w:hint="eastAsia" w:ascii="仿宋_GB2312" w:hAnsi="仿宋" w:eastAsia="仿宋_GB2312" w:cs="Times New Roman"/>
          <w:color w:val="000000" w:themeColor="text1"/>
          <w:szCs w:val="21"/>
        </w:rPr>
        <w:t>我单位具有良好的商业信誉和健全的财务会计制度；</w:t>
      </w:r>
    </w:p>
    <w:p w14:paraId="216C8F9D">
      <w:pPr>
        <w:numPr>
          <w:ilvl w:val="0"/>
          <w:numId w:val="2"/>
        </w:numPr>
        <w:spacing w:after="120" w:line="360" w:lineRule="auto"/>
        <w:ind w:left="60"/>
        <w:rPr>
          <w:rFonts w:ascii="仿宋_GB2312" w:hAnsi="仿宋" w:eastAsia="仿宋_GB2312" w:cs="Times New Roman"/>
          <w:color w:val="000000" w:themeColor="text1"/>
          <w:szCs w:val="21"/>
        </w:rPr>
      </w:pPr>
      <w:r>
        <w:rPr>
          <w:rFonts w:hint="eastAsia" w:ascii="仿宋_GB2312" w:hAnsi="仿宋" w:eastAsia="仿宋_GB2312" w:cs="Times New Roman"/>
          <w:color w:val="000000" w:themeColor="text1"/>
          <w:szCs w:val="21"/>
        </w:rPr>
        <w:t>我单位具有履行合同所必需的设备和专业技术能力；</w:t>
      </w:r>
    </w:p>
    <w:p w14:paraId="6769EEB9">
      <w:pPr>
        <w:numPr>
          <w:ilvl w:val="0"/>
          <w:numId w:val="2"/>
        </w:numPr>
        <w:spacing w:after="120" w:line="360" w:lineRule="auto"/>
        <w:ind w:left="60"/>
        <w:rPr>
          <w:rFonts w:ascii="仿宋_GB2312" w:hAnsi="仿宋" w:eastAsia="仿宋_GB2312" w:cs="Times New Roman"/>
          <w:color w:val="000000" w:themeColor="text1"/>
          <w:szCs w:val="21"/>
        </w:rPr>
      </w:pPr>
      <w:r>
        <w:rPr>
          <w:rFonts w:hint="eastAsia" w:ascii="仿宋_GB2312" w:hAnsi="仿宋" w:eastAsia="仿宋_GB2312" w:cs="Times New Roman"/>
          <w:color w:val="000000" w:themeColor="text1"/>
          <w:szCs w:val="21"/>
        </w:rPr>
        <w:t>我单位具有依法缴纳税收和社会保障资金的良好记录；</w:t>
      </w:r>
    </w:p>
    <w:p w14:paraId="3CF65026">
      <w:pPr>
        <w:numPr>
          <w:ilvl w:val="0"/>
          <w:numId w:val="2"/>
        </w:numPr>
        <w:spacing w:after="120" w:line="360" w:lineRule="auto"/>
        <w:ind w:left="60"/>
        <w:rPr>
          <w:rFonts w:ascii="仿宋_GB2312" w:hAnsi="仿宋" w:eastAsia="仿宋_GB2312" w:cs="Times New Roman"/>
          <w:color w:val="000000" w:themeColor="text1"/>
          <w:szCs w:val="21"/>
        </w:rPr>
      </w:pPr>
      <w:r>
        <w:rPr>
          <w:rFonts w:hint="eastAsia" w:ascii="仿宋_GB2312" w:hAnsi="仿宋" w:eastAsia="仿宋_GB2312" w:cs="Times New Roman"/>
          <w:color w:val="000000" w:themeColor="text1"/>
          <w:szCs w:val="21"/>
        </w:rPr>
        <w:t>我单位参加政府采购活动前三年内，在经营活动中没有重大违法记录；</w:t>
      </w:r>
    </w:p>
    <w:p w14:paraId="46611D70">
      <w:pPr>
        <w:numPr>
          <w:ilvl w:val="0"/>
          <w:numId w:val="2"/>
        </w:numPr>
        <w:spacing w:after="120" w:line="360" w:lineRule="auto"/>
        <w:ind w:left="60"/>
        <w:rPr>
          <w:rFonts w:ascii="仿宋_GB2312" w:hAnsi="仿宋" w:eastAsia="仿宋_GB2312" w:cs="Times New Roman"/>
          <w:color w:val="000000" w:themeColor="text1"/>
          <w:szCs w:val="21"/>
        </w:rPr>
      </w:pPr>
      <w:r>
        <w:rPr>
          <w:rFonts w:hint="eastAsia" w:ascii="仿宋_GB2312" w:hAnsi="仿宋" w:eastAsia="仿宋_GB2312" w:cs="Times New Roman"/>
          <w:color w:val="000000" w:themeColor="text1"/>
          <w:szCs w:val="21"/>
        </w:rPr>
        <w:t>我单位满足采购文件规定的特定条件；</w:t>
      </w:r>
    </w:p>
    <w:p w14:paraId="696449EB">
      <w:pPr>
        <w:numPr>
          <w:ilvl w:val="0"/>
          <w:numId w:val="2"/>
        </w:numPr>
        <w:spacing w:after="120" w:line="360" w:lineRule="auto"/>
        <w:ind w:left="60"/>
        <w:rPr>
          <w:rFonts w:ascii="仿宋_GB2312" w:hAnsi="仿宋" w:eastAsia="仿宋_GB2312" w:cs="Times New Roman"/>
          <w:color w:val="000000" w:themeColor="text1"/>
          <w:szCs w:val="21"/>
        </w:rPr>
      </w:pPr>
      <w:r>
        <w:rPr>
          <w:rFonts w:hint="eastAsia" w:ascii="仿宋_GB2312" w:hAnsi="仿宋" w:eastAsia="仿宋_GB2312" w:cs="Times New Roman"/>
          <w:color w:val="000000" w:themeColor="text1"/>
          <w:szCs w:val="21"/>
        </w:rPr>
        <w:t>我单位不存在与单位负责人为同一人或者存在直接控股、管理关系的其他供应商参与同一合同项下的政府采购活动的行为；</w:t>
      </w:r>
    </w:p>
    <w:p w14:paraId="05A43C2B">
      <w:pPr>
        <w:numPr>
          <w:ilvl w:val="0"/>
          <w:numId w:val="2"/>
        </w:numPr>
        <w:spacing w:after="120" w:line="360" w:lineRule="auto"/>
        <w:ind w:left="60"/>
        <w:rPr>
          <w:rFonts w:ascii="仿宋_GB2312" w:hAnsi="仿宋" w:eastAsia="仿宋_GB2312" w:cs="Times New Roman"/>
          <w:color w:val="000000" w:themeColor="text1"/>
          <w:szCs w:val="21"/>
        </w:rPr>
      </w:pPr>
      <w:r>
        <w:rPr>
          <w:rFonts w:hint="eastAsia" w:ascii="仿宋_GB2312" w:hAnsi="仿宋" w:eastAsia="仿宋_GB2312" w:cs="Times New Roman"/>
          <w:color w:val="000000" w:themeColor="text1"/>
          <w:szCs w:val="21"/>
        </w:rPr>
        <w:t>我单位不属于为本采购项目提供整体设计、规范编制或者项目管理、监理、检测等服务的供应商；</w:t>
      </w:r>
    </w:p>
    <w:p w14:paraId="02A30B5B">
      <w:pPr>
        <w:numPr>
          <w:ilvl w:val="0"/>
          <w:numId w:val="2"/>
        </w:numPr>
        <w:spacing w:after="120" w:line="360" w:lineRule="auto"/>
        <w:ind w:left="60"/>
        <w:rPr>
          <w:rFonts w:ascii="仿宋_GB2312" w:hAnsi="仿宋" w:eastAsia="仿宋_GB2312" w:cs="Times New Roman"/>
          <w:color w:val="000000" w:themeColor="text1"/>
          <w:szCs w:val="21"/>
        </w:rPr>
      </w:pPr>
      <w:r>
        <w:rPr>
          <w:rFonts w:hint="eastAsia" w:ascii="仿宋_GB2312" w:hAnsi="仿宋" w:eastAsia="仿宋_GB2312" w:cs="Times New Roman"/>
          <w:color w:val="000000" w:themeColor="text1"/>
          <w:szCs w:val="21"/>
        </w:rPr>
        <w:t>我单位不存在与其他供应商委托同一单位或者个人编制响应文件、办理响应事宜的情形；</w:t>
      </w:r>
    </w:p>
    <w:p w14:paraId="00D5378A">
      <w:pPr>
        <w:numPr>
          <w:ilvl w:val="0"/>
          <w:numId w:val="2"/>
        </w:numPr>
        <w:spacing w:after="120" w:line="360" w:lineRule="auto"/>
        <w:ind w:left="60"/>
        <w:rPr>
          <w:rFonts w:ascii="仿宋_GB2312" w:hAnsi="仿宋" w:eastAsia="仿宋_GB2312" w:cs="Times New Roman"/>
          <w:color w:val="000000" w:themeColor="text1"/>
          <w:szCs w:val="21"/>
        </w:rPr>
      </w:pPr>
      <w:r>
        <w:rPr>
          <w:rFonts w:hint="eastAsia" w:ascii="仿宋_GB2312" w:hAnsi="仿宋" w:eastAsia="仿宋_GB2312" w:cs="宋体"/>
          <w:color w:val="000000" w:themeColor="text1"/>
          <w:szCs w:val="21"/>
        </w:rPr>
        <w:t>我单位一旦入库，将严格按照采购文件规定交纳采购代理服务费，在约定期限内签订采购合同，并严格履行采购规定的责任和义务；</w:t>
      </w:r>
    </w:p>
    <w:p w14:paraId="737413CF">
      <w:pPr>
        <w:numPr>
          <w:ilvl w:val="0"/>
          <w:numId w:val="2"/>
        </w:numPr>
        <w:spacing w:after="120" w:line="360" w:lineRule="auto"/>
        <w:ind w:left="60"/>
        <w:rPr>
          <w:rFonts w:ascii="仿宋_GB2312" w:hAnsi="仿宋" w:eastAsia="仿宋_GB2312" w:cs="Times New Roman"/>
          <w:color w:val="000000" w:themeColor="text1"/>
          <w:szCs w:val="21"/>
        </w:rPr>
      </w:pPr>
      <w:r>
        <w:rPr>
          <w:rFonts w:hint="eastAsia" w:ascii="仿宋_GB2312" w:hAnsi="仿宋" w:eastAsia="仿宋_GB2312" w:cs="Times New Roman"/>
          <w:color w:val="000000" w:themeColor="text1"/>
          <w:szCs w:val="21"/>
        </w:rPr>
        <w:t>我单位在本项目使用的任何技术、产品和服务（包括部分使用）时，不会产生因第三方提出侵犯其专利权、商标权或其它知识产权而引起的法律和经济纠纷，如因专利权、商标权或其它知识产权而引起法律和经济纠纷，由我单位承担所有相关责任；</w:t>
      </w:r>
    </w:p>
    <w:p w14:paraId="6B549B85">
      <w:pPr>
        <w:numPr>
          <w:ilvl w:val="0"/>
          <w:numId w:val="2"/>
        </w:numPr>
        <w:spacing w:after="120" w:line="360" w:lineRule="auto"/>
        <w:ind w:left="60"/>
        <w:rPr>
          <w:rFonts w:ascii="仿宋_GB2312" w:hAnsi="仿宋" w:eastAsia="仿宋_GB2312" w:cs="Times New Roman"/>
          <w:color w:val="000000" w:themeColor="text1"/>
          <w:szCs w:val="21"/>
        </w:rPr>
      </w:pPr>
      <w:r>
        <w:rPr>
          <w:rFonts w:hint="eastAsia" w:ascii="仿宋_GB2312" w:hAnsi="仿宋" w:eastAsia="仿宋_GB2312" w:cs="Times New Roman"/>
          <w:color w:val="000000" w:themeColor="text1"/>
          <w:szCs w:val="21"/>
        </w:rPr>
        <w:t>我单位为本项目实施涉及的商品包装和快递包装，均符合《商品包装政府采购需求标准（试行）》《快递包装政府采购需求标准（试行）》的要求，包装适应于远距离运输、防潮、防震、防锈和防野蛮装卸，以确保货物安全无损运抵指定地点；</w:t>
      </w:r>
    </w:p>
    <w:p w14:paraId="37054EEC">
      <w:pPr>
        <w:numPr>
          <w:ilvl w:val="0"/>
          <w:numId w:val="2"/>
        </w:numPr>
        <w:spacing w:after="120" w:line="360" w:lineRule="auto"/>
        <w:ind w:left="60"/>
        <w:rPr>
          <w:rFonts w:ascii="仿宋_GB2312" w:hAnsi="仿宋" w:eastAsia="仿宋_GB2312" w:cs="Times New Roman"/>
          <w:color w:val="000000" w:themeColor="text1"/>
          <w:szCs w:val="21"/>
        </w:rPr>
      </w:pPr>
      <w:r>
        <w:rPr>
          <w:rFonts w:hint="eastAsia" w:ascii="仿宋_GB2312" w:hAnsi="仿宋" w:eastAsia="仿宋_GB2312" w:cs="Times New Roman"/>
          <w:color w:val="000000" w:themeColor="text1"/>
          <w:szCs w:val="21"/>
        </w:rPr>
        <w:t>我单位完全接受和理解本项目采购文件规定的实质性要求；</w:t>
      </w:r>
    </w:p>
    <w:p w14:paraId="22D1E084">
      <w:pPr>
        <w:numPr>
          <w:ilvl w:val="0"/>
          <w:numId w:val="2"/>
        </w:numPr>
        <w:spacing w:after="120" w:line="360" w:lineRule="auto"/>
        <w:ind w:left="60"/>
        <w:rPr>
          <w:rFonts w:ascii="仿宋_GB2312" w:hAnsi="仿宋" w:eastAsia="仿宋_GB2312" w:cs="Times New Roman"/>
          <w:color w:val="000000" w:themeColor="text1"/>
          <w:szCs w:val="21"/>
        </w:rPr>
      </w:pPr>
      <w:r>
        <w:rPr>
          <w:rFonts w:hint="eastAsia" w:ascii="仿宋_GB2312" w:hAnsi="仿宋" w:eastAsia="仿宋_GB2312" w:cs="Times New Roman"/>
          <w:color w:val="000000" w:themeColor="text1"/>
          <w:szCs w:val="21"/>
        </w:rPr>
        <w:t>我单位承诺，响应有效期为提交响应文件截止之日起不少于天；</w:t>
      </w:r>
    </w:p>
    <w:p w14:paraId="0F929A22">
      <w:pPr>
        <w:spacing w:after="120" w:line="360" w:lineRule="auto"/>
        <w:ind w:firstLine="560"/>
        <w:rPr>
          <w:rFonts w:ascii="仿宋_GB2312" w:hAnsi="仿宋" w:eastAsia="仿宋_GB2312" w:cs="Times New Roman"/>
          <w:bCs/>
          <w:color w:val="000000" w:themeColor="text1"/>
          <w:szCs w:val="21"/>
        </w:rPr>
      </w:pPr>
      <w:r>
        <w:rPr>
          <w:rFonts w:hint="eastAsia" w:ascii="仿宋_GB2312" w:hAnsi="仿宋" w:eastAsia="仿宋_GB2312" w:cs="Times New Roman"/>
          <w:bCs/>
          <w:color w:val="000000" w:themeColor="text1"/>
          <w:szCs w:val="21"/>
        </w:rPr>
        <w:t>根据采购文件规定，以上承诺事项如需提供相关证明材料的，以响应文件中提供的证明材料为准。本函发出后，即对我单位产生约束力，我单位保证严格遵守本响应函的各项承诺，并对本次提交的响应文件全部内容真实性负责。如经查实上述承诺的内容事项存在虚假，我单位愿意接受以提供虚假材料谋取入库资格、成交的法律责任。</w:t>
      </w:r>
    </w:p>
    <w:p w14:paraId="107E5215">
      <w:pPr>
        <w:spacing w:after="120" w:line="360" w:lineRule="auto"/>
        <w:rPr>
          <w:rFonts w:ascii="仿宋_GB2312" w:hAnsi="仿宋" w:eastAsia="仿宋_GB2312" w:cs="Times New Roman"/>
          <w:color w:val="000000" w:themeColor="text1"/>
          <w:szCs w:val="21"/>
        </w:rPr>
      </w:pPr>
    </w:p>
    <w:p w14:paraId="63D33B14">
      <w:pPr>
        <w:spacing w:line="360" w:lineRule="auto"/>
        <w:ind w:firstLine="420" w:firstLineChars="200"/>
        <w:rPr>
          <w:rFonts w:ascii="仿宋_GB2312" w:hAnsi="仿宋" w:eastAsia="仿宋_GB2312" w:cs="Times New Roman"/>
          <w:color w:val="000000" w:themeColor="text1"/>
          <w:szCs w:val="21"/>
        </w:rPr>
      </w:pPr>
      <w:r>
        <w:rPr>
          <w:rFonts w:hint="eastAsia" w:ascii="仿宋_GB2312" w:hAnsi="仿宋" w:eastAsia="仿宋_GB2312" w:cs="Times New Roman"/>
          <w:color w:val="000000" w:themeColor="text1"/>
          <w:szCs w:val="21"/>
        </w:rPr>
        <w:t>特此声明。</w:t>
      </w:r>
    </w:p>
    <w:p w14:paraId="63D34C8D">
      <w:pPr>
        <w:spacing w:line="360" w:lineRule="auto"/>
        <w:rPr>
          <w:rFonts w:ascii="仿宋_GB2312" w:hAnsi="仿宋" w:eastAsia="仿宋_GB2312" w:cs="Times New Roman"/>
          <w:color w:val="000000" w:themeColor="text1"/>
          <w:szCs w:val="21"/>
        </w:rPr>
      </w:pPr>
    </w:p>
    <w:p w14:paraId="73CEA9EB">
      <w:pPr>
        <w:spacing w:line="360" w:lineRule="auto"/>
        <w:rPr>
          <w:rFonts w:ascii="仿宋_GB2312" w:hAnsi="仿宋" w:eastAsia="仿宋_GB2312" w:cs="Times New Roman"/>
          <w:color w:val="000000" w:themeColor="text1"/>
          <w:szCs w:val="21"/>
        </w:rPr>
      </w:pPr>
    </w:p>
    <w:p w14:paraId="58A0510F">
      <w:pPr>
        <w:spacing w:after="120" w:line="360" w:lineRule="auto"/>
        <w:ind w:firstLine="420" w:firstLineChars="200"/>
        <w:rPr>
          <w:rFonts w:ascii="仿宋_GB2312" w:hAnsi="仿宋" w:eastAsia="仿宋_GB2312" w:cs="Times New Roman"/>
          <w:color w:val="000000" w:themeColor="text1"/>
          <w:szCs w:val="21"/>
        </w:rPr>
      </w:pPr>
      <w:r>
        <w:rPr>
          <w:rFonts w:hint="eastAsia" w:ascii="仿宋_GB2312" w:hAnsi="仿宋" w:eastAsia="仿宋_GB2312" w:cs="Times New Roman"/>
          <w:color w:val="000000" w:themeColor="text1"/>
          <w:szCs w:val="21"/>
        </w:rPr>
        <w:t>所有有关本次响应的一切往来方式为：</w:t>
      </w:r>
    </w:p>
    <w:p w14:paraId="39031DD5">
      <w:pPr>
        <w:spacing w:after="120" w:line="360" w:lineRule="auto"/>
        <w:ind w:left="620"/>
        <w:rPr>
          <w:rFonts w:ascii="仿宋_GB2312" w:hAnsi="仿宋" w:eastAsia="仿宋_GB2312" w:cs="Times New Roman"/>
          <w:color w:val="000000" w:themeColor="text1"/>
          <w:szCs w:val="21"/>
        </w:rPr>
      </w:pPr>
      <w:r>
        <w:rPr>
          <w:rFonts w:hint="eastAsia" w:ascii="仿宋_GB2312" w:hAnsi="仿宋" w:eastAsia="仿宋_GB2312" w:cs="Times New Roman"/>
          <w:color w:val="000000" w:themeColor="text1"/>
          <w:szCs w:val="21"/>
        </w:rPr>
        <w:t>响应供应商代表姓名：</w:t>
      </w:r>
    </w:p>
    <w:p w14:paraId="444309A0">
      <w:pPr>
        <w:spacing w:after="120" w:line="360" w:lineRule="auto"/>
        <w:ind w:left="620"/>
        <w:rPr>
          <w:rFonts w:ascii="仿宋_GB2312" w:hAnsi="仿宋" w:eastAsia="仿宋_GB2312" w:cs="Times New Roman"/>
          <w:color w:val="000000" w:themeColor="text1"/>
          <w:szCs w:val="21"/>
        </w:rPr>
      </w:pPr>
      <w:r>
        <w:rPr>
          <w:rFonts w:hint="eastAsia" w:ascii="仿宋_GB2312" w:hAnsi="仿宋" w:eastAsia="仿宋_GB2312" w:cs="Times New Roman"/>
          <w:color w:val="000000" w:themeColor="text1"/>
          <w:szCs w:val="21"/>
        </w:rPr>
        <w:t>联系方式：</w:t>
      </w:r>
    </w:p>
    <w:p w14:paraId="0F312413">
      <w:pPr>
        <w:spacing w:after="120" w:line="360" w:lineRule="auto"/>
        <w:ind w:left="620"/>
        <w:rPr>
          <w:rFonts w:ascii="仿宋_GB2312" w:hAnsi="仿宋" w:eastAsia="仿宋_GB2312" w:cs="Times New Roman"/>
          <w:color w:val="000000" w:themeColor="text1"/>
          <w:szCs w:val="21"/>
        </w:rPr>
      </w:pPr>
      <w:r>
        <w:rPr>
          <w:rFonts w:hint="eastAsia" w:ascii="仿宋_GB2312" w:hAnsi="仿宋" w:eastAsia="仿宋_GB2312" w:cs="Times New Roman"/>
          <w:color w:val="000000" w:themeColor="text1"/>
          <w:szCs w:val="21"/>
        </w:rPr>
        <w:t>联系地址：</w:t>
      </w:r>
    </w:p>
    <w:p w14:paraId="0B33E8DF">
      <w:pPr>
        <w:tabs>
          <w:tab w:val="left" w:pos="1260"/>
        </w:tabs>
        <w:spacing w:line="360" w:lineRule="auto"/>
        <w:ind w:firstLine="560"/>
        <w:rPr>
          <w:rFonts w:ascii="仿宋_GB2312" w:hAnsi="仿宋" w:eastAsia="仿宋_GB2312" w:cs="Times New Roman"/>
          <w:color w:val="000000" w:themeColor="text1"/>
          <w:szCs w:val="21"/>
        </w:rPr>
      </w:pPr>
    </w:p>
    <w:p w14:paraId="23D08F09">
      <w:pPr>
        <w:tabs>
          <w:tab w:val="left" w:pos="1260"/>
        </w:tabs>
        <w:spacing w:line="360" w:lineRule="auto"/>
        <w:jc w:val="right"/>
        <w:rPr>
          <w:rFonts w:ascii="仿宋_GB2312" w:hAnsi="仿宋" w:eastAsia="仿宋_GB2312" w:cs="Times New Roman"/>
          <w:color w:val="000000" w:themeColor="text1"/>
          <w:szCs w:val="21"/>
        </w:rPr>
      </w:pPr>
      <w:r>
        <w:rPr>
          <w:rFonts w:hint="eastAsia" w:ascii="仿宋_GB2312" w:hAnsi="仿宋" w:eastAsia="仿宋_GB2312" w:cs="Times New Roman"/>
          <w:color w:val="000000" w:themeColor="text1"/>
          <w:szCs w:val="21"/>
        </w:rPr>
        <w:t>供应商名称：</w:t>
      </w:r>
      <w:r>
        <w:rPr>
          <w:rFonts w:hint="eastAsia" w:ascii="仿宋_GB2312" w:hAnsi="仿宋" w:eastAsia="仿宋_GB2312" w:cs="宋体"/>
          <w:color w:val="000000" w:themeColor="text1"/>
          <w:szCs w:val="21"/>
        </w:rPr>
        <w:t>{XXXX}（签章）</w:t>
      </w:r>
    </w:p>
    <w:p w14:paraId="0B06293D">
      <w:pPr>
        <w:tabs>
          <w:tab w:val="left" w:pos="1260"/>
        </w:tabs>
        <w:spacing w:line="360" w:lineRule="auto"/>
        <w:ind w:firstLine="560"/>
        <w:jc w:val="right"/>
        <w:rPr>
          <w:rFonts w:ascii="仿宋_GB2312" w:hAnsi="仿宋" w:eastAsia="仿宋_GB2312" w:cs="Times New Roman"/>
          <w:color w:val="000000" w:themeColor="text1"/>
          <w:szCs w:val="21"/>
        </w:rPr>
      </w:pPr>
      <w:r>
        <w:rPr>
          <w:rFonts w:hint="eastAsia" w:ascii="仿宋_GB2312" w:hAnsi="仿宋" w:eastAsia="仿宋_GB2312" w:cs="Times New Roman"/>
          <w:color w:val="000000" w:themeColor="text1"/>
          <w:szCs w:val="21"/>
        </w:rPr>
        <w:t>日期：</w:t>
      </w:r>
      <w:r>
        <w:rPr>
          <w:rFonts w:hint="eastAsia" w:ascii="仿宋_GB2312" w:hAnsi="仿宋" w:eastAsia="仿宋_GB2312" w:cs="宋体"/>
          <w:color w:val="000000" w:themeColor="text1"/>
          <w:szCs w:val="21"/>
        </w:rPr>
        <w:t>{XXXX年XX月XX日}</w:t>
      </w:r>
    </w:p>
    <w:p w14:paraId="3E626394">
      <w:pPr>
        <w:spacing w:line="360" w:lineRule="auto"/>
        <w:rPr>
          <w:rFonts w:ascii="仿宋_GB2312" w:hAnsi="仿宋" w:eastAsia="仿宋_GB2312" w:cs="Times New Roman"/>
          <w:color w:val="000000" w:themeColor="text1"/>
          <w:szCs w:val="21"/>
        </w:rPr>
      </w:pPr>
    </w:p>
    <w:p w14:paraId="7E679C9D">
      <w:pPr>
        <w:tabs>
          <w:tab w:val="left" w:pos="1260"/>
        </w:tabs>
        <w:spacing w:line="360" w:lineRule="auto"/>
        <w:rPr>
          <w:rFonts w:ascii="仿宋_GB2312" w:hAnsi="仿宋" w:eastAsia="仿宋_GB2312" w:cs="宋体"/>
          <w:color w:val="000000" w:themeColor="text1"/>
          <w:szCs w:val="21"/>
        </w:rPr>
      </w:pPr>
      <w:r>
        <w:rPr>
          <w:rFonts w:hint="eastAsia" w:ascii="仿宋_GB2312" w:hAnsi="仿宋" w:eastAsia="仿宋_GB2312" w:cs="宋体"/>
          <w:color w:val="000000" w:themeColor="text1"/>
          <w:szCs w:val="21"/>
        </w:rPr>
        <w:t>说明：</w:t>
      </w:r>
    </w:p>
    <w:p w14:paraId="7CD95A5A">
      <w:pPr>
        <w:spacing w:line="360" w:lineRule="auto"/>
        <w:ind w:firstLine="420" w:firstLineChars="200"/>
        <w:rPr>
          <w:rFonts w:ascii="仿宋_GB2312" w:hAnsi="仿宋" w:eastAsia="仿宋_GB2312" w:cs="宋体"/>
          <w:color w:val="000000" w:themeColor="text1"/>
          <w:szCs w:val="21"/>
        </w:rPr>
      </w:pPr>
      <w:r>
        <w:rPr>
          <w:rFonts w:hint="eastAsia" w:ascii="仿宋_GB2312" w:hAnsi="仿宋" w:eastAsia="仿宋_GB2312" w:cs="宋体"/>
          <w:color w:val="000000" w:themeColor="text1"/>
          <w:szCs w:val="21"/>
        </w:rPr>
        <w:t>1.重大违法记录，是指供应商因违法经营受到刑事处罚或者责令停产停业、吊销许可证或者执照、较大数额罚款等行政处罚。根据《财政部关于&lt;中华人民共和国政府采购法实施条例&gt;第十九条第一款 “较大数额罚款”具体适用问题的意见》（财库〔2022〕3 号）中相关规定：“较大数额罚款”认定为200万元以上的罚款，法律、行政法规以及国务院有关部门明确规定相关领域“较大数额罚款”标准高于200万元的，从其规定。</w:t>
      </w:r>
    </w:p>
    <w:p w14:paraId="638D6EC0">
      <w:pPr>
        <w:spacing w:after="120" w:line="360" w:lineRule="auto"/>
        <w:ind w:firstLine="420" w:firstLineChars="200"/>
        <w:rPr>
          <w:rFonts w:ascii="仿宋_GB2312" w:hAnsi="仿宋" w:eastAsia="仿宋_GB2312" w:cs="宋体"/>
          <w:color w:val="000000" w:themeColor="text1"/>
          <w:szCs w:val="21"/>
        </w:rPr>
      </w:pPr>
      <w:r>
        <w:rPr>
          <w:rFonts w:hint="eastAsia" w:ascii="仿宋_GB2312" w:hAnsi="仿宋" w:eastAsia="仿宋_GB2312" w:cs="宋体"/>
          <w:color w:val="000000" w:themeColor="text1"/>
          <w:szCs w:val="21"/>
        </w:rPr>
        <w:t>2.需供应商提供的财务状况证明、履行合同所必需的设备和专业技术能力等证明材料的，按照本项目采购文件的规定提供。</w:t>
      </w:r>
    </w:p>
    <w:p w14:paraId="13CCC462">
      <w:pPr>
        <w:spacing w:line="360" w:lineRule="auto"/>
        <w:ind w:firstLine="371" w:firstLineChars="177"/>
        <w:jc w:val="left"/>
        <w:rPr>
          <w:rFonts w:ascii="仿宋_GB2312" w:hAnsi="仿宋" w:eastAsia="仿宋_GB2312" w:cs="仿宋_GB2312"/>
          <w:color w:val="000000" w:themeColor="text1"/>
          <w:szCs w:val="21"/>
        </w:rPr>
      </w:pPr>
    </w:p>
    <w:p w14:paraId="7654E793">
      <w:pPr>
        <w:spacing w:line="360" w:lineRule="auto"/>
        <w:ind w:firstLine="371" w:firstLineChars="177"/>
        <w:jc w:val="left"/>
        <w:rPr>
          <w:rFonts w:ascii="仿宋_GB2312" w:hAnsi="仿宋" w:eastAsia="仿宋_GB2312" w:cs="仿宋_GB2312"/>
          <w:color w:val="000000" w:themeColor="text1"/>
          <w:szCs w:val="21"/>
        </w:rPr>
      </w:pPr>
    </w:p>
    <w:p w14:paraId="77183186">
      <w:pPr>
        <w:spacing w:line="360" w:lineRule="auto"/>
        <w:ind w:firstLine="371" w:firstLineChars="177"/>
        <w:jc w:val="left"/>
        <w:rPr>
          <w:rFonts w:ascii="仿宋_GB2312" w:hAnsi="仿宋" w:eastAsia="仿宋_GB2312" w:cs="仿宋_GB2312"/>
          <w:color w:val="000000" w:themeColor="text1"/>
          <w:szCs w:val="21"/>
        </w:rPr>
      </w:pPr>
    </w:p>
    <w:p w14:paraId="31F2AB2C">
      <w:pPr>
        <w:spacing w:line="360" w:lineRule="auto"/>
        <w:rPr>
          <w:rFonts w:ascii="仿宋_GB2312" w:hAnsi="仿宋" w:eastAsia="仿宋_GB2312"/>
          <w:color w:val="000000" w:themeColor="text1"/>
          <w:szCs w:val="21"/>
        </w:rPr>
      </w:pPr>
    </w:p>
    <w:p w14:paraId="2E23F5DA">
      <w:pPr>
        <w:spacing w:line="360" w:lineRule="auto"/>
        <w:jc w:val="left"/>
        <w:rPr>
          <w:rFonts w:ascii="仿宋_GB2312" w:hAnsi="仿宋" w:eastAsia="仿宋_GB2312" w:cs="仿宋_GB2312"/>
          <w:color w:val="000000" w:themeColor="text1"/>
          <w:szCs w:val="21"/>
        </w:rPr>
      </w:pPr>
    </w:p>
    <w:p w14:paraId="631D5368">
      <w:pPr>
        <w:spacing w:line="360" w:lineRule="auto"/>
        <w:jc w:val="left"/>
        <w:rPr>
          <w:rFonts w:ascii="仿宋_GB2312" w:hAnsi="仿宋" w:eastAsia="仿宋_GB2312" w:cs="仿宋_GB2312"/>
          <w:color w:val="000000" w:themeColor="text1"/>
          <w:szCs w:val="21"/>
        </w:rPr>
      </w:pPr>
    </w:p>
    <w:p w14:paraId="6D6D89D0">
      <w:pPr>
        <w:spacing w:line="360" w:lineRule="auto"/>
        <w:jc w:val="left"/>
        <w:rPr>
          <w:rFonts w:ascii="仿宋_GB2312" w:hAnsi="仿宋" w:eastAsia="仿宋_GB2312" w:cs="仿宋_GB2312"/>
          <w:color w:val="000000" w:themeColor="text1"/>
          <w:szCs w:val="21"/>
        </w:rPr>
      </w:pPr>
    </w:p>
    <w:p w14:paraId="1825F3A2">
      <w:pPr>
        <w:spacing w:line="360" w:lineRule="auto"/>
        <w:jc w:val="left"/>
        <w:rPr>
          <w:rFonts w:ascii="仿宋_GB2312" w:hAnsi="仿宋" w:eastAsia="仿宋_GB2312" w:cs="仿宋_GB2312"/>
          <w:color w:val="000000" w:themeColor="text1"/>
          <w:szCs w:val="21"/>
        </w:rPr>
      </w:pPr>
    </w:p>
    <w:p w14:paraId="42B80B4A">
      <w:pPr>
        <w:spacing w:line="360" w:lineRule="auto"/>
        <w:jc w:val="left"/>
        <w:rPr>
          <w:rFonts w:ascii="仿宋_GB2312" w:hAnsi="仿宋" w:eastAsia="仿宋_GB2312" w:cs="仿宋_GB2312"/>
          <w:color w:val="000000" w:themeColor="text1"/>
          <w:szCs w:val="21"/>
        </w:rPr>
      </w:pPr>
    </w:p>
    <w:p w14:paraId="7179C890">
      <w:pPr>
        <w:spacing w:line="360" w:lineRule="auto"/>
        <w:jc w:val="center"/>
        <w:rPr>
          <w:rFonts w:ascii="仿宋_GB2312" w:hAnsi="仿宋" w:eastAsia="仿宋_GB2312" w:cs="Times New Roman"/>
          <w:b/>
          <w:bCs/>
          <w:color w:val="000000" w:themeColor="text1"/>
          <w:sz w:val="28"/>
          <w:szCs w:val="28"/>
        </w:rPr>
      </w:pPr>
      <w:r>
        <w:rPr>
          <w:rFonts w:hint="eastAsia" w:ascii="仿宋_GB2312" w:hAnsi="仿宋" w:eastAsia="仿宋_GB2312" w:cs="宋体"/>
          <w:b/>
          <w:bCs/>
          <w:color w:val="000000" w:themeColor="text1"/>
          <w:sz w:val="28"/>
          <w:szCs w:val="28"/>
        </w:rPr>
        <w:t>营业执照或单位法人证书或自然人的身份证明复印件（自然人身份证明仅在自然人作为响应主体时适用）</w:t>
      </w:r>
    </w:p>
    <w:p w14:paraId="64E5CC5D">
      <w:pPr>
        <w:spacing w:line="360" w:lineRule="auto"/>
        <w:jc w:val="left"/>
        <w:rPr>
          <w:rFonts w:ascii="仿宋_GB2312" w:hAnsi="仿宋" w:eastAsia="仿宋_GB2312" w:cs="仿宋_GB2312"/>
          <w:color w:val="000000" w:themeColor="text1"/>
          <w:szCs w:val="21"/>
        </w:rPr>
      </w:pPr>
    </w:p>
    <w:p w14:paraId="1F00120A">
      <w:pPr>
        <w:spacing w:line="360" w:lineRule="auto"/>
        <w:jc w:val="left"/>
        <w:rPr>
          <w:rFonts w:ascii="仿宋_GB2312" w:hAnsi="仿宋" w:eastAsia="仿宋_GB2312" w:cs="仿宋_GB2312"/>
          <w:color w:val="000000" w:themeColor="text1"/>
          <w:szCs w:val="21"/>
        </w:rPr>
      </w:pPr>
    </w:p>
    <w:p w14:paraId="31512142">
      <w:pPr>
        <w:spacing w:line="360" w:lineRule="auto"/>
        <w:jc w:val="left"/>
        <w:rPr>
          <w:rFonts w:ascii="仿宋_GB2312" w:hAnsi="仿宋" w:eastAsia="仿宋_GB2312" w:cs="仿宋_GB2312"/>
          <w:color w:val="000000" w:themeColor="text1"/>
          <w:szCs w:val="21"/>
        </w:rPr>
      </w:pPr>
    </w:p>
    <w:p w14:paraId="36B35EBF">
      <w:pPr>
        <w:spacing w:line="360" w:lineRule="auto"/>
        <w:jc w:val="left"/>
        <w:rPr>
          <w:rFonts w:ascii="仿宋_GB2312" w:hAnsi="仿宋" w:eastAsia="仿宋_GB2312" w:cs="仿宋_GB2312"/>
          <w:color w:val="000000" w:themeColor="text1"/>
          <w:szCs w:val="21"/>
        </w:rPr>
      </w:pPr>
    </w:p>
    <w:p w14:paraId="0FD18580">
      <w:pPr>
        <w:spacing w:line="360" w:lineRule="auto"/>
        <w:jc w:val="left"/>
        <w:rPr>
          <w:rFonts w:ascii="仿宋_GB2312" w:hAnsi="仿宋" w:eastAsia="仿宋_GB2312" w:cs="仿宋_GB2312"/>
          <w:color w:val="000000" w:themeColor="text1"/>
          <w:szCs w:val="21"/>
        </w:rPr>
      </w:pPr>
    </w:p>
    <w:p w14:paraId="734FAEA2">
      <w:pPr>
        <w:spacing w:line="360" w:lineRule="auto"/>
        <w:jc w:val="left"/>
        <w:rPr>
          <w:rFonts w:ascii="仿宋_GB2312" w:hAnsi="仿宋" w:eastAsia="仿宋_GB2312" w:cs="仿宋_GB2312"/>
          <w:color w:val="000000" w:themeColor="text1"/>
          <w:szCs w:val="21"/>
        </w:rPr>
      </w:pPr>
    </w:p>
    <w:p w14:paraId="6D07D6F0">
      <w:pPr>
        <w:spacing w:line="360" w:lineRule="auto"/>
        <w:jc w:val="left"/>
        <w:rPr>
          <w:rFonts w:ascii="仿宋_GB2312" w:hAnsi="仿宋" w:eastAsia="仿宋_GB2312" w:cs="仿宋_GB2312"/>
          <w:color w:val="000000" w:themeColor="text1"/>
          <w:szCs w:val="21"/>
        </w:rPr>
      </w:pPr>
    </w:p>
    <w:p w14:paraId="36380968">
      <w:pPr>
        <w:spacing w:line="360" w:lineRule="auto"/>
        <w:jc w:val="left"/>
        <w:rPr>
          <w:rFonts w:ascii="仿宋_GB2312" w:hAnsi="仿宋" w:eastAsia="仿宋_GB2312" w:cs="仿宋_GB2312"/>
          <w:color w:val="000000" w:themeColor="text1"/>
          <w:szCs w:val="21"/>
        </w:rPr>
      </w:pPr>
    </w:p>
    <w:p w14:paraId="17487E5C">
      <w:pPr>
        <w:spacing w:line="360" w:lineRule="auto"/>
        <w:jc w:val="left"/>
        <w:rPr>
          <w:rFonts w:ascii="仿宋_GB2312" w:hAnsi="仿宋" w:eastAsia="仿宋_GB2312" w:cs="仿宋_GB2312"/>
          <w:color w:val="000000" w:themeColor="text1"/>
          <w:szCs w:val="21"/>
        </w:rPr>
      </w:pPr>
    </w:p>
    <w:p w14:paraId="048A818E">
      <w:pPr>
        <w:spacing w:line="360" w:lineRule="auto"/>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供应商名称（加盖单位公章）：</w:t>
      </w:r>
    </w:p>
    <w:p w14:paraId="0E16D389">
      <w:pPr>
        <w:spacing w:line="360" w:lineRule="auto"/>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 xml:space="preserve">法定代表人（或非法人组织负责人）或其授权委托人(签字或盖章)： </w:t>
      </w:r>
    </w:p>
    <w:p w14:paraId="68446251">
      <w:pPr>
        <w:spacing w:line="360" w:lineRule="auto"/>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 xml:space="preserve">日期： </w:t>
      </w:r>
    </w:p>
    <w:p w14:paraId="2EEDCCDD">
      <w:pPr>
        <w:spacing w:line="360" w:lineRule="auto"/>
        <w:jc w:val="left"/>
        <w:rPr>
          <w:rFonts w:ascii="仿宋_GB2312" w:hAnsi="仿宋" w:eastAsia="仿宋_GB2312" w:cs="仿宋_GB2312"/>
          <w:color w:val="000000" w:themeColor="text1"/>
          <w:szCs w:val="21"/>
        </w:rPr>
      </w:pPr>
    </w:p>
    <w:p w14:paraId="17433500">
      <w:pPr>
        <w:spacing w:line="360" w:lineRule="auto"/>
        <w:jc w:val="left"/>
        <w:rPr>
          <w:rFonts w:ascii="仿宋_GB2312" w:hAnsi="仿宋" w:eastAsia="仿宋_GB2312" w:cs="仿宋_GB2312"/>
          <w:color w:val="000000" w:themeColor="text1"/>
          <w:szCs w:val="21"/>
        </w:rPr>
      </w:pPr>
    </w:p>
    <w:p w14:paraId="670132C6">
      <w:pPr>
        <w:spacing w:line="360" w:lineRule="auto"/>
        <w:jc w:val="left"/>
        <w:rPr>
          <w:rFonts w:ascii="仿宋_GB2312" w:hAnsi="仿宋" w:eastAsia="仿宋_GB2312" w:cs="仿宋_GB2312"/>
          <w:color w:val="000000" w:themeColor="text1"/>
          <w:szCs w:val="21"/>
        </w:rPr>
      </w:pPr>
    </w:p>
    <w:p w14:paraId="542FD732">
      <w:pPr>
        <w:spacing w:line="360" w:lineRule="auto"/>
        <w:jc w:val="left"/>
        <w:rPr>
          <w:rFonts w:ascii="仿宋_GB2312" w:hAnsi="仿宋" w:eastAsia="仿宋_GB2312" w:cs="仿宋_GB2312"/>
          <w:color w:val="000000" w:themeColor="text1"/>
          <w:szCs w:val="21"/>
        </w:rPr>
      </w:pPr>
    </w:p>
    <w:p w14:paraId="1B89FA8F">
      <w:pPr>
        <w:spacing w:line="360" w:lineRule="auto"/>
        <w:jc w:val="left"/>
        <w:rPr>
          <w:rFonts w:ascii="仿宋_GB2312" w:hAnsi="仿宋" w:eastAsia="仿宋_GB2312" w:cs="仿宋_GB2312"/>
          <w:color w:val="000000" w:themeColor="text1"/>
          <w:szCs w:val="21"/>
        </w:rPr>
      </w:pPr>
    </w:p>
    <w:p w14:paraId="5C5D9E7C">
      <w:pPr>
        <w:spacing w:line="360" w:lineRule="auto"/>
        <w:jc w:val="left"/>
        <w:rPr>
          <w:rFonts w:ascii="仿宋_GB2312" w:hAnsi="仿宋" w:eastAsia="仿宋_GB2312" w:cs="仿宋_GB2312"/>
          <w:color w:val="000000" w:themeColor="text1"/>
          <w:szCs w:val="21"/>
        </w:rPr>
      </w:pPr>
    </w:p>
    <w:p w14:paraId="24CE11D6">
      <w:pPr>
        <w:spacing w:line="360" w:lineRule="auto"/>
        <w:jc w:val="left"/>
        <w:rPr>
          <w:rFonts w:ascii="仿宋_GB2312" w:hAnsi="仿宋" w:eastAsia="仿宋_GB2312" w:cs="仿宋_GB2312"/>
          <w:color w:val="000000" w:themeColor="text1"/>
          <w:szCs w:val="21"/>
        </w:rPr>
      </w:pPr>
    </w:p>
    <w:p w14:paraId="7AC177C1">
      <w:pPr>
        <w:spacing w:line="360" w:lineRule="auto"/>
        <w:jc w:val="left"/>
        <w:rPr>
          <w:rFonts w:ascii="仿宋_GB2312" w:hAnsi="仿宋" w:eastAsia="仿宋_GB2312" w:cs="仿宋_GB2312"/>
          <w:color w:val="000000" w:themeColor="text1"/>
          <w:szCs w:val="21"/>
        </w:rPr>
      </w:pPr>
    </w:p>
    <w:p w14:paraId="60A9431F">
      <w:pPr>
        <w:spacing w:line="360" w:lineRule="auto"/>
        <w:jc w:val="left"/>
        <w:rPr>
          <w:rFonts w:ascii="仿宋_GB2312" w:hAnsi="仿宋" w:eastAsia="仿宋_GB2312" w:cs="仿宋_GB2312"/>
          <w:color w:val="000000" w:themeColor="text1"/>
          <w:szCs w:val="21"/>
        </w:rPr>
      </w:pPr>
    </w:p>
    <w:p w14:paraId="22024FAB">
      <w:pPr>
        <w:spacing w:line="360" w:lineRule="auto"/>
        <w:jc w:val="left"/>
        <w:rPr>
          <w:rFonts w:ascii="仿宋_GB2312" w:hAnsi="仿宋" w:eastAsia="仿宋_GB2312" w:cs="仿宋_GB2312"/>
          <w:color w:val="000000" w:themeColor="text1"/>
          <w:szCs w:val="21"/>
        </w:rPr>
      </w:pPr>
    </w:p>
    <w:p w14:paraId="7E10416F">
      <w:pPr>
        <w:spacing w:line="360" w:lineRule="auto"/>
        <w:jc w:val="left"/>
        <w:rPr>
          <w:rFonts w:ascii="仿宋_GB2312" w:hAnsi="仿宋" w:eastAsia="仿宋_GB2312" w:cs="仿宋_GB2312"/>
          <w:color w:val="000000" w:themeColor="text1"/>
          <w:szCs w:val="21"/>
        </w:rPr>
      </w:pPr>
    </w:p>
    <w:p w14:paraId="02C71F3B">
      <w:pPr>
        <w:spacing w:line="360" w:lineRule="auto"/>
        <w:jc w:val="left"/>
        <w:rPr>
          <w:rFonts w:ascii="仿宋_GB2312" w:hAnsi="仿宋" w:eastAsia="仿宋_GB2312" w:cs="仿宋_GB2312"/>
          <w:color w:val="000000" w:themeColor="text1"/>
          <w:szCs w:val="21"/>
        </w:rPr>
      </w:pPr>
    </w:p>
    <w:p w14:paraId="122733D7">
      <w:pPr>
        <w:spacing w:before="312" w:beforeLines="100" w:after="312" w:afterLines="100" w:line="360" w:lineRule="auto"/>
        <w:jc w:val="center"/>
        <w:rPr>
          <w:rFonts w:ascii="仿宋_GB2312" w:hAnsi="仿宋" w:eastAsia="仿宋_GB2312" w:cs="仿宋_GB2312"/>
          <w:b/>
          <w:bCs/>
          <w:color w:val="000000" w:themeColor="text1"/>
          <w:sz w:val="28"/>
          <w:szCs w:val="28"/>
        </w:rPr>
      </w:pPr>
      <w:r>
        <w:rPr>
          <w:rFonts w:hint="eastAsia" w:ascii="仿宋_GB2312" w:hAnsi="仿宋" w:eastAsia="仿宋_GB2312" w:cs="仿宋_GB2312"/>
          <w:b/>
          <w:bCs/>
          <w:color w:val="000000" w:themeColor="text1"/>
          <w:sz w:val="28"/>
          <w:szCs w:val="28"/>
        </w:rPr>
        <w:t>具备履行合同所必需的设备和专业技术能力声明函</w:t>
      </w:r>
    </w:p>
    <w:p w14:paraId="1260333A">
      <w:pPr>
        <w:spacing w:before="312" w:beforeLines="100" w:after="312" w:afterLines="100" w:line="360" w:lineRule="auto"/>
        <w:ind w:right="630" w:rightChars="300"/>
        <w:jc w:val="center"/>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（格式自拟）</w:t>
      </w:r>
    </w:p>
    <w:p w14:paraId="7467A3DF">
      <w:pPr>
        <w:spacing w:before="312" w:beforeLines="100" w:after="312" w:afterLines="100" w:line="360" w:lineRule="auto"/>
        <w:ind w:right="630" w:rightChars="300"/>
        <w:jc w:val="center"/>
        <w:rPr>
          <w:rFonts w:ascii="仿宋_GB2312" w:hAnsi="仿宋" w:eastAsia="仿宋_GB2312" w:cs="仿宋_GB2312"/>
          <w:b/>
          <w:color w:val="000000" w:themeColor="text1"/>
          <w:szCs w:val="21"/>
        </w:rPr>
      </w:pPr>
    </w:p>
    <w:p w14:paraId="5681A1BB">
      <w:pPr>
        <w:spacing w:before="312" w:beforeLines="100" w:after="312" w:afterLines="100" w:line="360" w:lineRule="auto"/>
        <w:ind w:right="630" w:rightChars="300"/>
        <w:jc w:val="center"/>
        <w:rPr>
          <w:rFonts w:ascii="仿宋_GB2312" w:hAnsi="仿宋" w:eastAsia="仿宋_GB2312" w:cs="仿宋_GB2312"/>
          <w:b/>
          <w:color w:val="000000" w:themeColor="text1"/>
          <w:szCs w:val="21"/>
        </w:rPr>
      </w:pPr>
    </w:p>
    <w:p w14:paraId="5D1DFF66">
      <w:pPr>
        <w:spacing w:before="312" w:beforeLines="100" w:after="312" w:afterLines="100" w:line="360" w:lineRule="auto"/>
        <w:ind w:right="630" w:rightChars="300"/>
        <w:jc w:val="center"/>
        <w:rPr>
          <w:rFonts w:ascii="仿宋_GB2312" w:hAnsi="仿宋" w:eastAsia="仿宋_GB2312" w:cs="仿宋_GB2312"/>
          <w:b/>
          <w:color w:val="000000" w:themeColor="text1"/>
          <w:szCs w:val="21"/>
        </w:rPr>
      </w:pPr>
    </w:p>
    <w:p w14:paraId="685DD1E0">
      <w:pPr>
        <w:spacing w:before="312" w:beforeLines="100" w:after="312" w:afterLines="100" w:line="360" w:lineRule="auto"/>
        <w:ind w:right="630" w:rightChars="300"/>
        <w:jc w:val="center"/>
        <w:rPr>
          <w:rFonts w:ascii="仿宋_GB2312" w:hAnsi="仿宋" w:eastAsia="仿宋_GB2312" w:cs="仿宋_GB2312"/>
          <w:b/>
          <w:color w:val="000000" w:themeColor="text1"/>
          <w:szCs w:val="21"/>
        </w:rPr>
      </w:pPr>
    </w:p>
    <w:p w14:paraId="25DFC80D">
      <w:pPr>
        <w:spacing w:line="360" w:lineRule="auto"/>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供应商名称（加盖单位公章）：</w:t>
      </w:r>
    </w:p>
    <w:p w14:paraId="0DA01B9D">
      <w:pPr>
        <w:spacing w:line="360" w:lineRule="auto"/>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 xml:space="preserve">法定代表人（或非法人组织负责人）或其授权委托人(签字或盖章)： </w:t>
      </w:r>
    </w:p>
    <w:p w14:paraId="5E1B6C48">
      <w:pPr>
        <w:spacing w:line="360" w:lineRule="auto"/>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 xml:space="preserve">日期： </w:t>
      </w:r>
    </w:p>
    <w:p w14:paraId="45DDD326">
      <w:pPr>
        <w:spacing w:line="360" w:lineRule="auto"/>
        <w:jc w:val="left"/>
        <w:rPr>
          <w:rFonts w:ascii="仿宋_GB2312" w:hAnsi="仿宋" w:eastAsia="仿宋_GB2312" w:cs="仿宋_GB2312"/>
          <w:color w:val="000000" w:themeColor="text1"/>
          <w:szCs w:val="21"/>
        </w:rPr>
      </w:pPr>
    </w:p>
    <w:p w14:paraId="023BD504">
      <w:pPr>
        <w:spacing w:line="360" w:lineRule="auto"/>
        <w:jc w:val="left"/>
        <w:rPr>
          <w:rFonts w:ascii="仿宋_GB2312" w:hAnsi="仿宋" w:eastAsia="仿宋_GB2312" w:cs="仿宋_GB2312"/>
          <w:color w:val="000000" w:themeColor="text1"/>
          <w:szCs w:val="21"/>
        </w:rPr>
      </w:pPr>
    </w:p>
    <w:p w14:paraId="5DD53B39">
      <w:pPr>
        <w:spacing w:line="360" w:lineRule="auto"/>
        <w:jc w:val="left"/>
        <w:rPr>
          <w:rFonts w:ascii="仿宋_GB2312" w:hAnsi="仿宋" w:eastAsia="仿宋_GB2312" w:cs="仿宋_GB2312"/>
          <w:color w:val="000000" w:themeColor="text1"/>
          <w:szCs w:val="21"/>
        </w:rPr>
      </w:pPr>
    </w:p>
    <w:p w14:paraId="5D3EBBB6">
      <w:pPr>
        <w:spacing w:line="360" w:lineRule="auto"/>
        <w:jc w:val="left"/>
        <w:rPr>
          <w:rFonts w:ascii="仿宋_GB2312" w:hAnsi="仿宋" w:eastAsia="仿宋_GB2312" w:cs="仿宋_GB2312"/>
          <w:color w:val="000000" w:themeColor="text1"/>
          <w:szCs w:val="21"/>
        </w:rPr>
      </w:pPr>
    </w:p>
    <w:p w14:paraId="0A86E17E">
      <w:pPr>
        <w:spacing w:line="360" w:lineRule="auto"/>
        <w:jc w:val="left"/>
        <w:rPr>
          <w:rFonts w:ascii="仿宋_GB2312" w:hAnsi="仿宋" w:eastAsia="仿宋_GB2312" w:cs="仿宋_GB2312"/>
          <w:color w:val="000000" w:themeColor="text1"/>
          <w:szCs w:val="21"/>
        </w:rPr>
      </w:pPr>
    </w:p>
    <w:p w14:paraId="7990732E">
      <w:pPr>
        <w:spacing w:line="360" w:lineRule="auto"/>
        <w:jc w:val="left"/>
        <w:rPr>
          <w:rFonts w:ascii="仿宋_GB2312" w:hAnsi="仿宋" w:eastAsia="仿宋_GB2312" w:cs="仿宋_GB2312"/>
          <w:color w:val="000000" w:themeColor="text1"/>
          <w:szCs w:val="21"/>
        </w:rPr>
      </w:pPr>
    </w:p>
    <w:p w14:paraId="5A256EBB">
      <w:pPr>
        <w:spacing w:line="360" w:lineRule="auto"/>
        <w:jc w:val="left"/>
        <w:rPr>
          <w:rFonts w:ascii="仿宋_GB2312" w:hAnsi="仿宋" w:eastAsia="仿宋_GB2312" w:cs="仿宋_GB2312"/>
          <w:color w:val="000000" w:themeColor="text1"/>
          <w:szCs w:val="21"/>
        </w:rPr>
      </w:pPr>
    </w:p>
    <w:p w14:paraId="0A450349">
      <w:pPr>
        <w:spacing w:line="360" w:lineRule="auto"/>
        <w:jc w:val="left"/>
        <w:rPr>
          <w:rFonts w:ascii="仿宋_GB2312" w:hAnsi="仿宋" w:eastAsia="仿宋_GB2312" w:cs="仿宋_GB2312"/>
          <w:color w:val="000000" w:themeColor="text1"/>
          <w:szCs w:val="21"/>
        </w:rPr>
      </w:pPr>
    </w:p>
    <w:p w14:paraId="71523A90">
      <w:pPr>
        <w:spacing w:line="360" w:lineRule="auto"/>
        <w:jc w:val="left"/>
        <w:rPr>
          <w:rFonts w:ascii="仿宋_GB2312" w:hAnsi="仿宋" w:eastAsia="仿宋_GB2312" w:cs="仿宋_GB2312"/>
          <w:color w:val="000000" w:themeColor="text1"/>
          <w:szCs w:val="21"/>
        </w:rPr>
      </w:pPr>
    </w:p>
    <w:p w14:paraId="4B495588">
      <w:pPr>
        <w:spacing w:line="360" w:lineRule="auto"/>
        <w:jc w:val="left"/>
        <w:rPr>
          <w:rFonts w:ascii="仿宋_GB2312" w:hAnsi="仿宋" w:eastAsia="仿宋_GB2312" w:cs="仿宋_GB2312"/>
          <w:color w:val="000000" w:themeColor="text1"/>
          <w:szCs w:val="21"/>
        </w:rPr>
      </w:pPr>
    </w:p>
    <w:p w14:paraId="54940B6E">
      <w:pPr>
        <w:spacing w:line="360" w:lineRule="auto"/>
        <w:jc w:val="left"/>
        <w:rPr>
          <w:rFonts w:ascii="仿宋_GB2312" w:hAnsi="仿宋" w:eastAsia="仿宋_GB2312" w:cs="仿宋_GB2312"/>
          <w:color w:val="000000" w:themeColor="text1"/>
          <w:szCs w:val="21"/>
        </w:rPr>
      </w:pPr>
    </w:p>
    <w:p w14:paraId="05FBE2BE">
      <w:pPr>
        <w:spacing w:before="312" w:beforeLines="100" w:after="312" w:afterLines="100" w:line="360" w:lineRule="auto"/>
        <w:ind w:right="-21" w:rightChars="-10"/>
        <w:jc w:val="center"/>
        <w:rPr>
          <w:rFonts w:ascii="仿宋_GB2312" w:hAnsi="仿宋" w:eastAsia="仿宋_GB2312" w:cs="仿宋_GB2312"/>
          <w:b/>
          <w:color w:val="000000" w:themeColor="text1"/>
          <w:szCs w:val="21"/>
        </w:rPr>
      </w:pPr>
    </w:p>
    <w:p w14:paraId="7979BBF8">
      <w:pPr>
        <w:spacing w:before="312" w:beforeLines="100" w:after="312" w:afterLines="100" w:line="360" w:lineRule="auto"/>
        <w:ind w:right="-21" w:rightChars="-10"/>
        <w:jc w:val="center"/>
        <w:rPr>
          <w:rFonts w:ascii="仿宋_GB2312" w:hAnsi="仿宋" w:eastAsia="仿宋_GB2312" w:cs="仿宋_GB2312"/>
          <w:b/>
          <w:color w:val="000000" w:themeColor="text1"/>
          <w:sz w:val="28"/>
          <w:szCs w:val="28"/>
        </w:rPr>
      </w:pPr>
      <w:r>
        <w:rPr>
          <w:rFonts w:hint="eastAsia" w:ascii="仿宋_GB2312" w:hAnsi="仿宋" w:eastAsia="仿宋_GB2312" w:cs="仿宋_GB2312"/>
          <w:b/>
          <w:color w:val="000000" w:themeColor="text1"/>
          <w:sz w:val="28"/>
          <w:szCs w:val="28"/>
        </w:rPr>
        <w:t>法定代表人（或非法人组织负责人）授权委托书</w:t>
      </w:r>
    </w:p>
    <w:p w14:paraId="124679BA">
      <w:pPr>
        <w:spacing w:line="360" w:lineRule="auto"/>
        <w:ind w:firstLine="420" w:firstLineChars="200"/>
        <w:rPr>
          <w:rFonts w:ascii="仿宋_GB2312" w:hAnsi="仿宋" w:eastAsia="仿宋_GB2312" w:cs="仿宋_GB2312"/>
          <w:color w:val="000000" w:themeColor="text1"/>
          <w:szCs w:val="21"/>
          <w:u w:val="single"/>
        </w:rPr>
      </w:pPr>
      <w:r>
        <w:rPr>
          <w:rFonts w:hint="eastAsia" w:ascii="仿宋_GB2312" w:hAnsi="仿宋" w:eastAsia="仿宋_GB2312" w:cs="仿宋_GB2312"/>
          <w:color w:val="000000" w:themeColor="text1"/>
          <w:szCs w:val="21"/>
        </w:rPr>
        <w:t>单位名称：</w:t>
      </w:r>
    </w:p>
    <w:p w14:paraId="4057CF79">
      <w:pPr>
        <w:spacing w:line="360" w:lineRule="auto"/>
        <w:ind w:firstLine="420" w:firstLineChars="200"/>
        <w:rPr>
          <w:rFonts w:ascii="仿宋_GB2312" w:hAnsi="仿宋" w:eastAsia="仿宋_GB2312" w:cs="仿宋_GB2312"/>
          <w:color w:val="000000" w:themeColor="text1"/>
          <w:szCs w:val="21"/>
          <w:u w:val="single"/>
        </w:rPr>
      </w:pPr>
      <w:r>
        <w:rPr>
          <w:rFonts w:hint="eastAsia" w:ascii="仿宋_GB2312" w:hAnsi="仿宋" w:eastAsia="仿宋_GB2312" w:cs="仿宋_GB2312"/>
          <w:color w:val="000000" w:themeColor="text1"/>
          <w:szCs w:val="21"/>
        </w:rPr>
        <w:t>法定代表人（或非法人组织负责人）姓名： 身份证号码：</w:t>
      </w:r>
    </w:p>
    <w:p w14:paraId="220B3EAC">
      <w:pPr>
        <w:tabs>
          <w:tab w:val="left" w:pos="5205"/>
        </w:tabs>
        <w:spacing w:line="360" w:lineRule="auto"/>
        <w:ind w:firstLine="420" w:firstLineChars="200"/>
        <w:rPr>
          <w:rFonts w:ascii="仿宋_GB2312" w:hAnsi="仿宋" w:eastAsia="仿宋_GB2312" w:cs="仿宋_GB2312"/>
          <w:color w:val="000000" w:themeColor="text1"/>
          <w:szCs w:val="21"/>
          <w:u w:val="single"/>
        </w:rPr>
      </w:pPr>
      <w:r>
        <w:rPr>
          <w:rFonts w:hint="eastAsia" w:ascii="仿宋_GB2312" w:hAnsi="仿宋" w:eastAsia="仿宋_GB2312" w:cs="仿宋_GB2312"/>
          <w:color w:val="000000" w:themeColor="text1"/>
          <w:szCs w:val="21"/>
        </w:rPr>
        <w:t>住所地：</w:t>
      </w:r>
      <w:r>
        <w:rPr>
          <w:rFonts w:hint="eastAsia" w:ascii="仿宋_GB2312" w:hAnsi="仿宋" w:eastAsia="仿宋_GB2312" w:cs="仿宋_GB2312"/>
          <w:color w:val="000000" w:themeColor="text1"/>
          <w:szCs w:val="21"/>
          <w:u w:val="single"/>
        </w:rPr>
        <w:tab/>
      </w:r>
    </w:p>
    <w:p w14:paraId="6C2CA272">
      <w:pPr>
        <w:spacing w:line="360" w:lineRule="auto"/>
        <w:ind w:firstLine="420" w:firstLineChars="200"/>
        <w:rPr>
          <w:rFonts w:ascii="仿宋_GB2312" w:hAnsi="仿宋" w:eastAsia="仿宋_GB2312" w:cs="仿宋_GB2312"/>
          <w:color w:val="000000" w:themeColor="text1"/>
          <w:szCs w:val="21"/>
          <w:u w:val="single"/>
        </w:rPr>
      </w:pPr>
      <w:r>
        <w:rPr>
          <w:rFonts w:hint="eastAsia" w:ascii="仿宋_GB2312" w:hAnsi="仿宋" w:eastAsia="仿宋_GB2312" w:cs="仿宋_GB2312"/>
          <w:color w:val="000000" w:themeColor="text1"/>
          <w:szCs w:val="21"/>
        </w:rPr>
        <w:t>授权委托人姓名：                   身份证号码：</w:t>
      </w:r>
    </w:p>
    <w:p w14:paraId="5D65E6DE">
      <w:pPr>
        <w:spacing w:line="360" w:lineRule="auto"/>
        <w:ind w:firstLine="420" w:firstLineChars="200"/>
        <w:rPr>
          <w:rFonts w:ascii="仿宋_GB2312" w:hAnsi="仿宋" w:eastAsia="仿宋_GB2312" w:cs="仿宋_GB2312"/>
          <w:color w:val="000000" w:themeColor="text1"/>
          <w:szCs w:val="21"/>
          <w:u w:val="single"/>
        </w:rPr>
      </w:pPr>
      <w:r>
        <w:rPr>
          <w:rFonts w:hint="eastAsia" w:ascii="仿宋_GB2312" w:hAnsi="仿宋" w:eastAsia="仿宋_GB2312" w:cs="仿宋_GB2312"/>
          <w:color w:val="000000" w:themeColor="text1"/>
          <w:szCs w:val="21"/>
        </w:rPr>
        <w:t>工作单位：</w:t>
      </w:r>
    </w:p>
    <w:p w14:paraId="1786A63C">
      <w:pPr>
        <w:spacing w:line="360" w:lineRule="auto"/>
        <w:ind w:firstLine="420" w:firstLineChars="200"/>
        <w:rPr>
          <w:rFonts w:ascii="仿宋_GB2312" w:hAnsi="仿宋" w:eastAsia="仿宋_GB2312" w:cs="仿宋_GB2312"/>
          <w:color w:val="000000" w:themeColor="text1"/>
          <w:szCs w:val="21"/>
          <w:u w:val="single"/>
        </w:rPr>
      </w:pPr>
      <w:r>
        <w:rPr>
          <w:rFonts w:hint="eastAsia" w:ascii="仿宋_GB2312" w:hAnsi="仿宋" w:eastAsia="仿宋_GB2312" w:cs="仿宋_GB2312"/>
          <w:color w:val="000000" w:themeColor="text1"/>
          <w:szCs w:val="21"/>
        </w:rPr>
        <w:t>住址：                   电话：</w:t>
      </w:r>
    </w:p>
    <w:p w14:paraId="353E46E0">
      <w:pPr>
        <w:spacing w:line="360" w:lineRule="auto"/>
        <w:ind w:firstLine="420" w:firstLineChars="200"/>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现委托就</w:t>
      </w:r>
      <w:r>
        <w:rPr>
          <w:rFonts w:hint="eastAsia" w:ascii="仿宋_GB2312" w:hAnsi="仿宋" w:eastAsia="仿宋_GB2312" w:cs="仿宋_GB2312"/>
          <w:color w:val="000000" w:themeColor="text1"/>
          <w:szCs w:val="21"/>
          <w:u w:val="single"/>
        </w:rPr>
        <w:t>（项目编号、项目名称、包号）</w:t>
      </w:r>
      <w:r>
        <w:rPr>
          <w:rFonts w:hint="eastAsia" w:ascii="仿宋_GB2312" w:hAnsi="仿宋" w:eastAsia="仿宋_GB2312" w:cs="仿宋_GB2312"/>
          <w:color w:val="000000" w:themeColor="text1"/>
          <w:szCs w:val="21"/>
        </w:rPr>
        <w:t>响应中，以我单位名义处理一切与之有关的事务。</w:t>
      </w:r>
    </w:p>
    <w:p w14:paraId="1938A037">
      <w:pPr>
        <w:spacing w:line="360" w:lineRule="auto"/>
        <w:ind w:firstLine="420" w:firstLineChars="200"/>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本授权书于年月日签字或盖章生效，无转委托，特此声明。</w:t>
      </w:r>
    </w:p>
    <w:p w14:paraId="27495EE3">
      <w:pPr>
        <w:spacing w:line="360" w:lineRule="auto"/>
        <w:rPr>
          <w:rFonts w:ascii="仿宋_GB2312" w:hAnsi="仿宋" w:eastAsia="仿宋_GB2312" w:cs="仿宋_GB2312"/>
          <w:color w:val="000000" w:themeColor="text1"/>
          <w:szCs w:val="21"/>
        </w:rPr>
      </w:pPr>
    </w:p>
    <w:tbl>
      <w:tblPr>
        <w:tblStyle w:val="9"/>
        <w:tblW w:w="8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14:paraId="7730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noWrap/>
          </w:tcPr>
          <w:p w14:paraId="3F6723F7">
            <w:pPr>
              <w:spacing w:line="360" w:lineRule="auto"/>
              <w:jc w:val="center"/>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（※授权委托人身份证正、反面复印件※）</w:t>
            </w:r>
          </w:p>
        </w:tc>
      </w:tr>
    </w:tbl>
    <w:p w14:paraId="1DD8ED8D">
      <w:pPr>
        <w:spacing w:line="360" w:lineRule="auto"/>
        <w:rPr>
          <w:rFonts w:ascii="仿宋_GB2312" w:hAnsi="仿宋" w:eastAsia="仿宋_GB2312" w:cs="仿宋_GB2312"/>
          <w:color w:val="000000" w:themeColor="text1"/>
          <w:szCs w:val="21"/>
        </w:rPr>
      </w:pPr>
    </w:p>
    <w:p w14:paraId="11AEF078">
      <w:pPr>
        <w:spacing w:line="360" w:lineRule="auto"/>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委托人（加盖单位公章）：</w:t>
      </w:r>
    </w:p>
    <w:p w14:paraId="3FF1CF51">
      <w:pPr>
        <w:spacing w:line="360" w:lineRule="auto"/>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法定代表人（或非法人组织负责人）（签字或盖章）：</w:t>
      </w:r>
    </w:p>
    <w:p w14:paraId="0AC820FE">
      <w:pPr>
        <w:spacing w:line="360" w:lineRule="auto"/>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授权委托人（签字或盖章）：</w:t>
      </w:r>
    </w:p>
    <w:p w14:paraId="3B19A85B">
      <w:pPr>
        <w:spacing w:line="360" w:lineRule="auto"/>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详细通讯地址：      邮政编码 ：</w:t>
      </w:r>
    </w:p>
    <w:p w14:paraId="49DB7C4B">
      <w:pPr>
        <w:spacing w:line="360" w:lineRule="auto"/>
        <w:rPr>
          <w:rFonts w:ascii="仿宋_GB2312" w:hAnsi="仿宋" w:eastAsia="仿宋_GB2312" w:cs="仿宋_GB2312"/>
          <w:color w:val="000000" w:themeColor="text1"/>
          <w:szCs w:val="21"/>
          <w:u w:val="single"/>
        </w:rPr>
      </w:pPr>
      <w:r>
        <w:rPr>
          <w:rFonts w:hint="eastAsia" w:ascii="仿宋_GB2312" w:hAnsi="仿宋" w:eastAsia="仿宋_GB2312" w:cs="仿宋_GB2312"/>
          <w:color w:val="000000" w:themeColor="text1"/>
          <w:szCs w:val="21"/>
        </w:rPr>
        <w:t>传        真：      电     话：</w:t>
      </w:r>
    </w:p>
    <w:p w14:paraId="310D15BF">
      <w:pPr>
        <w:spacing w:line="360" w:lineRule="auto"/>
        <w:rPr>
          <w:rFonts w:ascii="仿宋_GB2312" w:hAnsi="仿宋" w:eastAsia="仿宋_GB2312" w:cs="仿宋_GB2312"/>
          <w:color w:val="000000" w:themeColor="text1"/>
          <w:szCs w:val="21"/>
          <w:u w:val="single"/>
        </w:rPr>
      </w:pPr>
      <w:r>
        <w:rPr>
          <w:rFonts w:hint="eastAsia" w:ascii="仿宋_GB2312" w:hAnsi="仿宋" w:eastAsia="仿宋_GB2312" w:cs="仿宋_GB2312"/>
          <w:color w:val="000000" w:themeColor="text1"/>
          <w:szCs w:val="21"/>
        </w:rPr>
        <w:t>日        期:</w:t>
      </w:r>
    </w:p>
    <w:p w14:paraId="3DDE857B">
      <w:pPr>
        <w:spacing w:line="360" w:lineRule="auto"/>
        <w:rPr>
          <w:rFonts w:ascii="仿宋_GB2312" w:hAnsi="仿宋" w:eastAsia="仿宋_GB2312" w:cs="Times New Roman"/>
          <w:color w:val="000000" w:themeColor="text1"/>
          <w:szCs w:val="21"/>
        </w:rPr>
      </w:pPr>
    </w:p>
    <w:p w14:paraId="33F8A4B1">
      <w:pPr>
        <w:spacing w:line="360" w:lineRule="auto"/>
        <w:jc w:val="left"/>
        <w:rPr>
          <w:rFonts w:ascii="仿宋_GB2312" w:hAnsi="仿宋" w:eastAsia="仿宋_GB2312" w:cs="仿宋_GB2312"/>
          <w:color w:val="000000" w:themeColor="text1"/>
          <w:szCs w:val="21"/>
        </w:rPr>
      </w:pPr>
    </w:p>
    <w:p w14:paraId="62FAFD5A">
      <w:pPr>
        <w:spacing w:line="360" w:lineRule="auto"/>
        <w:jc w:val="left"/>
        <w:rPr>
          <w:rFonts w:ascii="仿宋_GB2312" w:hAnsi="仿宋" w:eastAsia="仿宋_GB2312" w:cs="仿宋_GB2312"/>
          <w:color w:val="000000" w:themeColor="text1"/>
          <w:szCs w:val="21"/>
        </w:rPr>
      </w:pPr>
    </w:p>
    <w:p w14:paraId="1A6C9D82">
      <w:pPr>
        <w:spacing w:line="360" w:lineRule="auto"/>
        <w:rPr>
          <w:rFonts w:ascii="仿宋_GB2312" w:hAnsi="仿宋" w:eastAsia="仿宋_GB2312" w:cs="宋体"/>
          <w:color w:val="000000" w:themeColor="text1"/>
          <w:szCs w:val="21"/>
        </w:rPr>
      </w:pPr>
    </w:p>
    <w:p w14:paraId="0661117F">
      <w:pPr>
        <w:spacing w:line="360" w:lineRule="auto"/>
        <w:rPr>
          <w:rFonts w:ascii="仿宋_GB2312" w:hAnsi="仿宋" w:eastAsia="仿宋_GB2312" w:cs="宋体"/>
          <w:color w:val="000000" w:themeColor="text1"/>
          <w:szCs w:val="21"/>
        </w:rPr>
      </w:pPr>
    </w:p>
    <w:p w14:paraId="124E0E68">
      <w:pPr>
        <w:spacing w:line="360" w:lineRule="auto"/>
        <w:rPr>
          <w:rFonts w:ascii="仿宋_GB2312" w:hAnsi="仿宋" w:eastAsia="仿宋_GB2312" w:cs="Times New Roman"/>
          <w:color w:val="000000" w:themeColor="text1"/>
          <w:szCs w:val="21"/>
        </w:rPr>
      </w:pPr>
      <w:r>
        <w:rPr>
          <w:rFonts w:hint="eastAsia" w:ascii="仿宋_GB2312" w:hAnsi="仿宋" w:eastAsia="仿宋_GB2312" w:cs="宋体"/>
          <w:color w:val="000000" w:themeColor="text1"/>
          <w:szCs w:val="21"/>
        </w:rPr>
        <w:t>采购时间前六个月内任一个月的依法缴纳社会保障资金的缴款凭据复印件（注：依法不需要缴纳社会保障资金的供应商，应提供相关证明材料，包括相关法规要求原文及加盖公章的情况说明）</w:t>
      </w:r>
    </w:p>
    <w:p w14:paraId="5894E073">
      <w:pPr>
        <w:spacing w:line="360" w:lineRule="auto"/>
        <w:jc w:val="left"/>
        <w:rPr>
          <w:rFonts w:ascii="仿宋_GB2312" w:hAnsi="仿宋" w:eastAsia="仿宋_GB2312" w:cs="仿宋_GB2312"/>
          <w:color w:val="000000" w:themeColor="text1"/>
          <w:szCs w:val="21"/>
        </w:rPr>
      </w:pPr>
    </w:p>
    <w:p w14:paraId="4DD85358">
      <w:pPr>
        <w:spacing w:line="360" w:lineRule="auto"/>
        <w:jc w:val="left"/>
        <w:rPr>
          <w:rFonts w:ascii="仿宋_GB2312" w:hAnsi="仿宋" w:eastAsia="仿宋_GB2312" w:cs="仿宋_GB2312"/>
          <w:color w:val="000000" w:themeColor="text1"/>
          <w:szCs w:val="21"/>
        </w:rPr>
      </w:pPr>
    </w:p>
    <w:p w14:paraId="16C0351A">
      <w:pPr>
        <w:spacing w:line="360" w:lineRule="auto"/>
        <w:jc w:val="left"/>
        <w:rPr>
          <w:rFonts w:ascii="仿宋_GB2312" w:hAnsi="仿宋" w:eastAsia="仿宋_GB2312" w:cs="仿宋_GB2312"/>
          <w:color w:val="000000" w:themeColor="text1"/>
          <w:szCs w:val="21"/>
        </w:rPr>
      </w:pPr>
    </w:p>
    <w:p w14:paraId="0230FB0B">
      <w:pPr>
        <w:spacing w:line="360" w:lineRule="auto"/>
        <w:jc w:val="left"/>
        <w:rPr>
          <w:rFonts w:ascii="仿宋_GB2312" w:hAnsi="仿宋" w:eastAsia="仿宋_GB2312" w:cs="仿宋_GB2312"/>
          <w:color w:val="000000" w:themeColor="text1"/>
          <w:szCs w:val="21"/>
        </w:rPr>
      </w:pPr>
    </w:p>
    <w:p w14:paraId="6A9BDD39">
      <w:pPr>
        <w:spacing w:line="360" w:lineRule="auto"/>
        <w:jc w:val="left"/>
        <w:rPr>
          <w:rFonts w:ascii="仿宋_GB2312" w:hAnsi="仿宋" w:eastAsia="仿宋_GB2312" w:cs="仿宋_GB2312"/>
          <w:color w:val="000000" w:themeColor="text1"/>
          <w:szCs w:val="21"/>
        </w:rPr>
      </w:pPr>
    </w:p>
    <w:p w14:paraId="4FFB5405">
      <w:pPr>
        <w:spacing w:line="360" w:lineRule="auto"/>
        <w:jc w:val="left"/>
        <w:rPr>
          <w:rFonts w:ascii="仿宋_GB2312" w:hAnsi="仿宋" w:eastAsia="仿宋_GB2312" w:cs="仿宋_GB2312"/>
          <w:color w:val="000000" w:themeColor="text1"/>
          <w:szCs w:val="21"/>
        </w:rPr>
      </w:pPr>
    </w:p>
    <w:p w14:paraId="15072A7A">
      <w:pPr>
        <w:spacing w:line="360" w:lineRule="auto"/>
        <w:jc w:val="left"/>
        <w:rPr>
          <w:rFonts w:ascii="仿宋_GB2312" w:hAnsi="仿宋" w:eastAsia="仿宋_GB2312" w:cs="仿宋_GB2312"/>
          <w:color w:val="000000" w:themeColor="text1"/>
          <w:szCs w:val="21"/>
        </w:rPr>
      </w:pPr>
    </w:p>
    <w:p w14:paraId="6BF046A6">
      <w:pPr>
        <w:spacing w:line="360" w:lineRule="auto"/>
        <w:jc w:val="left"/>
        <w:rPr>
          <w:rFonts w:ascii="仿宋_GB2312" w:hAnsi="仿宋" w:eastAsia="仿宋_GB2312" w:cs="仿宋_GB2312"/>
          <w:color w:val="000000" w:themeColor="text1"/>
          <w:szCs w:val="21"/>
        </w:rPr>
      </w:pPr>
    </w:p>
    <w:p w14:paraId="4D4B4570">
      <w:pPr>
        <w:spacing w:line="360" w:lineRule="auto"/>
        <w:jc w:val="left"/>
        <w:rPr>
          <w:rFonts w:ascii="仿宋_GB2312" w:hAnsi="仿宋" w:eastAsia="仿宋_GB2312" w:cs="仿宋_GB2312"/>
          <w:color w:val="000000" w:themeColor="text1"/>
          <w:szCs w:val="21"/>
        </w:rPr>
      </w:pPr>
    </w:p>
    <w:p w14:paraId="6FBB393E">
      <w:pPr>
        <w:spacing w:line="360" w:lineRule="auto"/>
        <w:jc w:val="left"/>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供应商名称（加盖单位公章）：</w:t>
      </w:r>
    </w:p>
    <w:p w14:paraId="703D4C97">
      <w:pPr>
        <w:spacing w:line="360" w:lineRule="auto"/>
        <w:jc w:val="left"/>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 xml:space="preserve">法定代表人（或非法人组织负责人）或其授权委托人(签字或盖章)： </w:t>
      </w:r>
    </w:p>
    <w:p w14:paraId="75856010">
      <w:pPr>
        <w:spacing w:line="360" w:lineRule="auto"/>
        <w:jc w:val="left"/>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 xml:space="preserve">日期： </w:t>
      </w:r>
    </w:p>
    <w:p w14:paraId="22410213">
      <w:pPr>
        <w:spacing w:line="360" w:lineRule="auto"/>
        <w:jc w:val="left"/>
        <w:rPr>
          <w:rFonts w:ascii="仿宋_GB2312" w:hAnsi="仿宋" w:eastAsia="仿宋_GB2312" w:cs="仿宋_GB2312"/>
          <w:color w:val="000000" w:themeColor="text1"/>
          <w:szCs w:val="21"/>
        </w:rPr>
      </w:pPr>
    </w:p>
    <w:p w14:paraId="341250D8">
      <w:pPr>
        <w:spacing w:line="360" w:lineRule="auto"/>
        <w:jc w:val="left"/>
        <w:rPr>
          <w:rFonts w:ascii="仿宋_GB2312" w:hAnsi="仿宋" w:eastAsia="仿宋_GB2312" w:cs="仿宋_GB2312"/>
          <w:color w:val="000000" w:themeColor="text1"/>
          <w:szCs w:val="21"/>
        </w:rPr>
      </w:pPr>
    </w:p>
    <w:p w14:paraId="13488A20">
      <w:pPr>
        <w:spacing w:line="360" w:lineRule="auto"/>
        <w:jc w:val="left"/>
        <w:rPr>
          <w:rFonts w:ascii="仿宋_GB2312" w:hAnsi="仿宋" w:eastAsia="仿宋_GB2312" w:cs="仿宋_GB2312"/>
          <w:color w:val="000000" w:themeColor="text1"/>
          <w:szCs w:val="21"/>
        </w:rPr>
      </w:pPr>
    </w:p>
    <w:p w14:paraId="4582CDDE">
      <w:pPr>
        <w:spacing w:line="360" w:lineRule="auto"/>
        <w:jc w:val="left"/>
        <w:rPr>
          <w:rFonts w:ascii="仿宋_GB2312" w:hAnsi="仿宋" w:eastAsia="仿宋_GB2312" w:cs="仿宋_GB2312"/>
          <w:color w:val="000000" w:themeColor="text1"/>
          <w:szCs w:val="21"/>
        </w:rPr>
      </w:pPr>
    </w:p>
    <w:p w14:paraId="30ABA6F5">
      <w:pPr>
        <w:spacing w:line="360" w:lineRule="auto"/>
        <w:jc w:val="left"/>
        <w:rPr>
          <w:rFonts w:ascii="仿宋_GB2312" w:hAnsi="仿宋" w:eastAsia="仿宋_GB2312" w:cs="仿宋_GB2312"/>
          <w:color w:val="000000" w:themeColor="text1"/>
          <w:szCs w:val="21"/>
        </w:rPr>
      </w:pPr>
    </w:p>
    <w:p w14:paraId="06B7ECC9">
      <w:pPr>
        <w:spacing w:line="360" w:lineRule="auto"/>
        <w:jc w:val="left"/>
        <w:rPr>
          <w:rFonts w:ascii="仿宋_GB2312" w:hAnsi="仿宋" w:eastAsia="仿宋_GB2312" w:cs="仿宋_GB2312"/>
          <w:color w:val="000000" w:themeColor="text1"/>
          <w:szCs w:val="21"/>
        </w:rPr>
      </w:pPr>
    </w:p>
    <w:p w14:paraId="2022CA23">
      <w:pPr>
        <w:spacing w:line="360" w:lineRule="auto"/>
        <w:jc w:val="left"/>
        <w:rPr>
          <w:rFonts w:ascii="仿宋_GB2312" w:hAnsi="仿宋" w:eastAsia="仿宋_GB2312" w:cs="仿宋_GB2312"/>
          <w:color w:val="000000" w:themeColor="text1"/>
          <w:szCs w:val="21"/>
        </w:rPr>
      </w:pPr>
    </w:p>
    <w:p w14:paraId="401A8D76">
      <w:pPr>
        <w:spacing w:line="360" w:lineRule="auto"/>
        <w:jc w:val="left"/>
        <w:rPr>
          <w:rFonts w:ascii="仿宋_GB2312" w:hAnsi="仿宋" w:eastAsia="仿宋_GB2312" w:cs="仿宋_GB2312"/>
          <w:color w:val="000000" w:themeColor="text1"/>
          <w:szCs w:val="21"/>
        </w:rPr>
      </w:pPr>
    </w:p>
    <w:p w14:paraId="3C70C3D1">
      <w:pPr>
        <w:spacing w:line="360" w:lineRule="auto"/>
        <w:jc w:val="left"/>
        <w:rPr>
          <w:rFonts w:ascii="仿宋_GB2312" w:hAnsi="仿宋" w:eastAsia="仿宋_GB2312" w:cs="仿宋_GB2312"/>
          <w:color w:val="000000" w:themeColor="text1"/>
          <w:szCs w:val="21"/>
        </w:rPr>
      </w:pPr>
    </w:p>
    <w:p w14:paraId="3B1DE8B1">
      <w:pPr>
        <w:spacing w:line="360" w:lineRule="auto"/>
        <w:jc w:val="left"/>
        <w:rPr>
          <w:rFonts w:ascii="仿宋_GB2312" w:hAnsi="仿宋" w:eastAsia="仿宋_GB2312" w:cs="仿宋_GB2312"/>
          <w:color w:val="000000" w:themeColor="text1"/>
          <w:szCs w:val="21"/>
        </w:rPr>
      </w:pPr>
    </w:p>
    <w:p w14:paraId="26DEF9BE">
      <w:pPr>
        <w:spacing w:line="360" w:lineRule="auto"/>
        <w:jc w:val="left"/>
        <w:rPr>
          <w:rFonts w:ascii="仿宋_GB2312" w:hAnsi="仿宋" w:eastAsia="仿宋_GB2312" w:cs="仿宋_GB2312"/>
          <w:color w:val="000000" w:themeColor="text1"/>
          <w:szCs w:val="21"/>
        </w:rPr>
      </w:pPr>
    </w:p>
    <w:p w14:paraId="279897F9">
      <w:pPr>
        <w:spacing w:line="360" w:lineRule="auto"/>
        <w:jc w:val="left"/>
        <w:rPr>
          <w:rFonts w:ascii="仿宋_GB2312" w:hAnsi="仿宋" w:eastAsia="仿宋_GB2312" w:cs="仿宋_GB2312"/>
          <w:color w:val="000000" w:themeColor="text1"/>
          <w:szCs w:val="21"/>
        </w:rPr>
      </w:pPr>
    </w:p>
    <w:p w14:paraId="402D7AFD">
      <w:pPr>
        <w:spacing w:line="360" w:lineRule="auto"/>
        <w:jc w:val="left"/>
        <w:rPr>
          <w:rFonts w:ascii="仿宋_GB2312" w:hAnsi="仿宋" w:eastAsia="仿宋_GB2312" w:cs="仿宋_GB2312"/>
          <w:color w:val="000000" w:themeColor="text1"/>
          <w:szCs w:val="21"/>
        </w:rPr>
      </w:pPr>
    </w:p>
    <w:p w14:paraId="402E6D97">
      <w:pPr>
        <w:spacing w:line="360" w:lineRule="auto"/>
        <w:jc w:val="center"/>
        <w:rPr>
          <w:rFonts w:ascii="仿宋_GB2312" w:hAnsi="仿宋" w:eastAsia="仿宋_GB2312" w:cs="宋体"/>
          <w:color w:val="000000" w:themeColor="text1"/>
          <w:szCs w:val="21"/>
        </w:rPr>
      </w:pPr>
      <w:r>
        <w:rPr>
          <w:rFonts w:hint="eastAsia" w:ascii="仿宋_GB2312" w:hAnsi="仿宋" w:eastAsia="仿宋_GB2312" w:cs="宋体"/>
          <w:b/>
          <w:color w:val="000000" w:themeColor="text1"/>
          <w:sz w:val="28"/>
          <w:szCs w:val="28"/>
        </w:rPr>
        <w:t>采购时间前六个月内任一个月的依法缴纳税收的缴款凭据复印件</w:t>
      </w:r>
      <w:r>
        <w:rPr>
          <w:rFonts w:hint="eastAsia" w:ascii="仿宋_GB2312" w:hAnsi="仿宋" w:eastAsia="仿宋_GB2312" w:cs="宋体"/>
          <w:color w:val="000000" w:themeColor="text1"/>
          <w:szCs w:val="21"/>
        </w:rPr>
        <w:t xml:space="preserve"> </w:t>
      </w:r>
    </w:p>
    <w:p w14:paraId="7861AF0F">
      <w:pPr>
        <w:spacing w:line="360" w:lineRule="auto"/>
        <w:jc w:val="center"/>
        <w:rPr>
          <w:rFonts w:ascii="仿宋_GB2312" w:hAnsi="仿宋" w:eastAsia="仿宋_GB2312" w:cs="Times New Roman"/>
          <w:color w:val="000000" w:themeColor="text1"/>
          <w:szCs w:val="21"/>
        </w:rPr>
      </w:pPr>
      <w:r>
        <w:rPr>
          <w:rFonts w:hint="eastAsia" w:ascii="仿宋_GB2312" w:hAnsi="仿宋" w:eastAsia="仿宋_GB2312" w:cs="宋体"/>
          <w:color w:val="000000" w:themeColor="text1"/>
          <w:szCs w:val="21"/>
        </w:rPr>
        <w:t>（注：依法免税的供应商，应提供相关证明材料，包括相关法规要求原文及加盖公章的情况说明）</w:t>
      </w:r>
    </w:p>
    <w:p w14:paraId="6E374399">
      <w:pPr>
        <w:spacing w:line="360" w:lineRule="auto"/>
        <w:jc w:val="left"/>
        <w:rPr>
          <w:rFonts w:ascii="仿宋_GB2312" w:hAnsi="仿宋" w:eastAsia="仿宋_GB2312" w:cs="仿宋_GB2312"/>
          <w:color w:val="000000" w:themeColor="text1"/>
          <w:szCs w:val="21"/>
        </w:rPr>
      </w:pPr>
    </w:p>
    <w:p w14:paraId="7F55A3B9">
      <w:pPr>
        <w:spacing w:line="360" w:lineRule="auto"/>
        <w:jc w:val="left"/>
        <w:rPr>
          <w:rFonts w:ascii="仿宋_GB2312" w:hAnsi="仿宋" w:eastAsia="仿宋_GB2312" w:cs="仿宋_GB2312"/>
          <w:color w:val="000000" w:themeColor="text1"/>
          <w:szCs w:val="21"/>
        </w:rPr>
      </w:pPr>
    </w:p>
    <w:p w14:paraId="27406BE1">
      <w:pPr>
        <w:spacing w:line="360" w:lineRule="auto"/>
        <w:jc w:val="left"/>
        <w:rPr>
          <w:rFonts w:ascii="仿宋_GB2312" w:hAnsi="仿宋" w:eastAsia="仿宋_GB2312" w:cs="仿宋_GB2312"/>
          <w:color w:val="000000" w:themeColor="text1"/>
          <w:szCs w:val="21"/>
        </w:rPr>
      </w:pPr>
    </w:p>
    <w:p w14:paraId="6184FB21">
      <w:pPr>
        <w:spacing w:line="360" w:lineRule="auto"/>
        <w:jc w:val="left"/>
        <w:rPr>
          <w:rFonts w:ascii="仿宋_GB2312" w:hAnsi="仿宋" w:eastAsia="仿宋_GB2312" w:cs="仿宋_GB2312"/>
          <w:color w:val="000000" w:themeColor="text1"/>
          <w:szCs w:val="21"/>
        </w:rPr>
      </w:pPr>
    </w:p>
    <w:p w14:paraId="77F66EDE">
      <w:pPr>
        <w:spacing w:line="360" w:lineRule="auto"/>
        <w:jc w:val="left"/>
        <w:rPr>
          <w:rFonts w:ascii="仿宋_GB2312" w:hAnsi="仿宋" w:eastAsia="仿宋_GB2312" w:cs="仿宋_GB2312"/>
          <w:color w:val="000000" w:themeColor="text1"/>
          <w:szCs w:val="21"/>
        </w:rPr>
      </w:pPr>
    </w:p>
    <w:p w14:paraId="1AEEC535">
      <w:pPr>
        <w:spacing w:line="360" w:lineRule="auto"/>
        <w:jc w:val="left"/>
        <w:rPr>
          <w:rFonts w:ascii="仿宋_GB2312" w:hAnsi="仿宋" w:eastAsia="仿宋_GB2312" w:cs="仿宋_GB2312"/>
          <w:color w:val="000000" w:themeColor="text1"/>
          <w:szCs w:val="21"/>
        </w:rPr>
      </w:pPr>
    </w:p>
    <w:p w14:paraId="630AECD9">
      <w:pPr>
        <w:spacing w:line="360" w:lineRule="auto"/>
        <w:jc w:val="left"/>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供应商名称（加盖单位公章）：</w:t>
      </w:r>
    </w:p>
    <w:p w14:paraId="0D3CAB7D">
      <w:pPr>
        <w:spacing w:line="360" w:lineRule="auto"/>
        <w:jc w:val="left"/>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 xml:space="preserve">法定代表人（或非法人组织负责人）或其授权委托人(签字或盖章)： </w:t>
      </w:r>
    </w:p>
    <w:p w14:paraId="06F36F80">
      <w:pPr>
        <w:spacing w:line="360" w:lineRule="auto"/>
        <w:jc w:val="left"/>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 xml:space="preserve">日期： </w:t>
      </w:r>
    </w:p>
    <w:p w14:paraId="3EB2EAF3">
      <w:pPr>
        <w:spacing w:line="360" w:lineRule="auto"/>
        <w:jc w:val="left"/>
        <w:rPr>
          <w:rFonts w:ascii="仿宋_GB2312" w:hAnsi="仿宋" w:eastAsia="仿宋_GB2312" w:cs="仿宋_GB2312"/>
          <w:color w:val="000000" w:themeColor="text1"/>
          <w:szCs w:val="21"/>
        </w:rPr>
      </w:pPr>
    </w:p>
    <w:p w14:paraId="031A2A92">
      <w:pPr>
        <w:spacing w:line="360" w:lineRule="auto"/>
        <w:jc w:val="left"/>
        <w:rPr>
          <w:rFonts w:ascii="仿宋_GB2312" w:hAnsi="仿宋" w:eastAsia="仿宋_GB2312" w:cs="仿宋_GB2312"/>
          <w:color w:val="000000" w:themeColor="text1"/>
          <w:szCs w:val="21"/>
        </w:rPr>
      </w:pPr>
    </w:p>
    <w:p w14:paraId="34AFC27B">
      <w:pPr>
        <w:spacing w:line="360" w:lineRule="auto"/>
        <w:jc w:val="left"/>
        <w:rPr>
          <w:rFonts w:ascii="仿宋_GB2312" w:hAnsi="仿宋" w:eastAsia="仿宋_GB2312" w:cs="仿宋_GB2312"/>
          <w:color w:val="000000" w:themeColor="text1"/>
          <w:szCs w:val="21"/>
        </w:rPr>
      </w:pPr>
    </w:p>
    <w:p w14:paraId="68946643">
      <w:pPr>
        <w:spacing w:line="360" w:lineRule="auto"/>
        <w:jc w:val="left"/>
        <w:rPr>
          <w:rFonts w:ascii="仿宋_GB2312" w:hAnsi="仿宋" w:eastAsia="仿宋_GB2312" w:cs="仿宋_GB2312"/>
          <w:color w:val="000000" w:themeColor="text1"/>
          <w:szCs w:val="21"/>
        </w:rPr>
      </w:pPr>
    </w:p>
    <w:p w14:paraId="553F3A3D">
      <w:pPr>
        <w:spacing w:line="360" w:lineRule="auto"/>
        <w:jc w:val="left"/>
        <w:rPr>
          <w:rFonts w:ascii="仿宋_GB2312" w:hAnsi="仿宋" w:eastAsia="仿宋_GB2312" w:cs="仿宋_GB2312"/>
          <w:color w:val="000000" w:themeColor="text1"/>
          <w:szCs w:val="21"/>
        </w:rPr>
      </w:pPr>
    </w:p>
    <w:p w14:paraId="406DBD5B">
      <w:pPr>
        <w:spacing w:line="360" w:lineRule="auto"/>
        <w:jc w:val="left"/>
        <w:rPr>
          <w:rFonts w:ascii="仿宋_GB2312" w:hAnsi="仿宋" w:eastAsia="仿宋_GB2312" w:cs="仿宋_GB2312"/>
          <w:color w:val="000000" w:themeColor="text1"/>
          <w:szCs w:val="21"/>
        </w:rPr>
      </w:pPr>
    </w:p>
    <w:p w14:paraId="767AC901">
      <w:pPr>
        <w:spacing w:line="360" w:lineRule="auto"/>
        <w:jc w:val="left"/>
        <w:rPr>
          <w:rFonts w:ascii="仿宋_GB2312" w:hAnsi="仿宋" w:eastAsia="仿宋_GB2312" w:cs="仿宋_GB2312"/>
          <w:color w:val="000000" w:themeColor="text1"/>
          <w:szCs w:val="21"/>
        </w:rPr>
      </w:pPr>
    </w:p>
    <w:p w14:paraId="4C1F624D">
      <w:pPr>
        <w:spacing w:line="360" w:lineRule="auto"/>
        <w:jc w:val="left"/>
        <w:rPr>
          <w:rFonts w:ascii="仿宋_GB2312" w:hAnsi="仿宋" w:eastAsia="仿宋_GB2312" w:cs="仿宋_GB2312"/>
          <w:color w:val="000000" w:themeColor="text1"/>
          <w:szCs w:val="21"/>
        </w:rPr>
      </w:pPr>
    </w:p>
    <w:p w14:paraId="096F98AC">
      <w:pPr>
        <w:spacing w:line="360" w:lineRule="auto"/>
        <w:jc w:val="left"/>
        <w:rPr>
          <w:rFonts w:ascii="仿宋_GB2312" w:hAnsi="仿宋" w:eastAsia="仿宋_GB2312" w:cs="仿宋_GB2312"/>
          <w:color w:val="000000" w:themeColor="text1"/>
          <w:szCs w:val="21"/>
        </w:rPr>
      </w:pPr>
    </w:p>
    <w:p w14:paraId="3CF38AA2">
      <w:pPr>
        <w:spacing w:line="360" w:lineRule="auto"/>
        <w:jc w:val="left"/>
        <w:rPr>
          <w:rFonts w:ascii="仿宋_GB2312" w:hAnsi="仿宋" w:eastAsia="仿宋_GB2312" w:cs="仿宋_GB2312"/>
          <w:color w:val="000000" w:themeColor="text1"/>
          <w:szCs w:val="21"/>
        </w:rPr>
      </w:pPr>
    </w:p>
    <w:p w14:paraId="3540039B">
      <w:pPr>
        <w:spacing w:line="360" w:lineRule="auto"/>
        <w:jc w:val="left"/>
        <w:rPr>
          <w:rFonts w:ascii="仿宋_GB2312" w:hAnsi="仿宋" w:eastAsia="仿宋_GB2312" w:cs="仿宋_GB2312"/>
          <w:color w:val="000000" w:themeColor="text1"/>
          <w:szCs w:val="21"/>
        </w:rPr>
      </w:pPr>
    </w:p>
    <w:p w14:paraId="53CD4876">
      <w:pPr>
        <w:spacing w:line="360" w:lineRule="auto"/>
        <w:jc w:val="left"/>
        <w:rPr>
          <w:rFonts w:ascii="仿宋_GB2312" w:hAnsi="仿宋" w:eastAsia="仿宋_GB2312" w:cs="仿宋_GB2312"/>
          <w:color w:val="000000" w:themeColor="text1"/>
          <w:szCs w:val="21"/>
        </w:rPr>
      </w:pPr>
    </w:p>
    <w:p w14:paraId="21446F05">
      <w:pPr>
        <w:spacing w:line="360" w:lineRule="auto"/>
        <w:jc w:val="left"/>
        <w:rPr>
          <w:rFonts w:ascii="仿宋_GB2312" w:hAnsi="仿宋" w:eastAsia="仿宋_GB2312" w:cs="仿宋_GB2312"/>
          <w:color w:val="000000" w:themeColor="text1"/>
          <w:szCs w:val="21"/>
        </w:rPr>
      </w:pPr>
    </w:p>
    <w:p w14:paraId="08084F5C">
      <w:pPr>
        <w:spacing w:line="360" w:lineRule="auto"/>
        <w:jc w:val="left"/>
        <w:rPr>
          <w:rFonts w:ascii="仿宋_GB2312" w:hAnsi="仿宋" w:eastAsia="仿宋_GB2312" w:cs="仿宋_GB2312"/>
          <w:color w:val="000000" w:themeColor="text1"/>
          <w:szCs w:val="21"/>
        </w:rPr>
      </w:pPr>
    </w:p>
    <w:p w14:paraId="01014531">
      <w:pPr>
        <w:spacing w:line="360" w:lineRule="auto"/>
        <w:jc w:val="left"/>
        <w:rPr>
          <w:rFonts w:ascii="仿宋_GB2312" w:hAnsi="仿宋" w:eastAsia="仿宋_GB2312" w:cs="仿宋_GB2312"/>
          <w:color w:val="000000" w:themeColor="text1"/>
          <w:szCs w:val="21"/>
        </w:rPr>
      </w:pPr>
    </w:p>
    <w:p w14:paraId="5B2D3BC2">
      <w:pPr>
        <w:spacing w:before="312" w:beforeLines="100" w:after="312" w:afterLines="100" w:line="360" w:lineRule="auto"/>
        <w:ind w:right="-21" w:rightChars="-10"/>
        <w:jc w:val="center"/>
        <w:rPr>
          <w:rFonts w:ascii="仿宋_GB2312" w:hAnsi="仿宋" w:eastAsia="仿宋_GB2312" w:cs="仿宋_GB2312"/>
          <w:b/>
          <w:color w:val="000000" w:themeColor="text1"/>
          <w:sz w:val="28"/>
          <w:szCs w:val="28"/>
        </w:rPr>
      </w:pPr>
      <w:r>
        <w:rPr>
          <w:rFonts w:hint="eastAsia" w:ascii="仿宋_GB2312" w:hAnsi="仿宋" w:eastAsia="仿宋_GB2312" w:cs="仿宋_GB2312"/>
          <w:b/>
          <w:color w:val="000000" w:themeColor="text1"/>
          <w:sz w:val="28"/>
          <w:szCs w:val="28"/>
        </w:rPr>
        <w:t>法定代表人（或非法人组织负责人）身份证明书</w:t>
      </w:r>
    </w:p>
    <w:p w14:paraId="2C517CD7">
      <w:pPr>
        <w:spacing w:line="360" w:lineRule="auto"/>
        <w:ind w:firstLine="840" w:firstLineChars="400"/>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姓名：，性别：，出生日期：，现任职务：，系（供应商名称）的法定代表人（或非法人组织负责人）。</w:t>
      </w:r>
    </w:p>
    <w:p w14:paraId="70769FCF">
      <w:pPr>
        <w:spacing w:line="360" w:lineRule="auto"/>
        <w:rPr>
          <w:rFonts w:ascii="仿宋_GB2312" w:hAnsi="仿宋" w:eastAsia="仿宋_GB2312" w:cs="仿宋_GB2312"/>
          <w:color w:val="000000" w:themeColor="text1"/>
          <w:szCs w:val="21"/>
        </w:rPr>
      </w:pPr>
    </w:p>
    <w:p w14:paraId="66AB10FA">
      <w:pPr>
        <w:spacing w:line="360" w:lineRule="auto"/>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特此证明。</w:t>
      </w:r>
    </w:p>
    <w:p w14:paraId="20501C36">
      <w:pPr>
        <w:spacing w:line="360" w:lineRule="auto"/>
        <w:rPr>
          <w:rFonts w:ascii="仿宋_GB2312" w:hAnsi="仿宋" w:eastAsia="仿宋_GB2312" w:cs="仿宋_GB2312"/>
          <w:color w:val="000000" w:themeColor="text1"/>
          <w:szCs w:val="21"/>
        </w:rPr>
      </w:pPr>
    </w:p>
    <w:p w14:paraId="1284C587">
      <w:pPr>
        <w:spacing w:line="360" w:lineRule="auto"/>
        <w:rPr>
          <w:rFonts w:ascii="仿宋_GB2312" w:hAnsi="仿宋" w:eastAsia="仿宋_GB2312" w:cs="仿宋_GB2312"/>
          <w:color w:val="000000" w:themeColor="text1"/>
          <w:szCs w:val="21"/>
        </w:rPr>
      </w:pPr>
    </w:p>
    <w:p w14:paraId="4FDB2980">
      <w:pPr>
        <w:spacing w:line="360" w:lineRule="auto"/>
        <w:rPr>
          <w:rFonts w:ascii="仿宋_GB2312" w:hAnsi="仿宋" w:eastAsia="仿宋_GB2312" w:cs="仿宋_GB2312"/>
          <w:color w:val="000000" w:themeColor="text1"/>
          <w:szCs w:val="21"/>
        </w:rPr>
      </w:pPr>
    </w:p>
    <w:tbl>
      <w:tblPr>
        <w:tblStyle w:val="9"/>
        <w:tblW w:w="8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14:paraId="77BB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noWrap/>
          </w:tcPr>
          <w:p w14:paraId="5EB7CA43">
            <w:pPr>
              <w:spacing w:line="360" w:lineRule="auto"/>
              <w:jc w:val="center"/>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（※法定代表人（或非法人组织负责人）身份证正、反面复印件※）</w:t>
            </w:r>
          </w:p>
        </w:tc>
      </w:tr>
    </w:tbl>
    <w:p w14:paraId="0BE81AFA">
      <w:pPr>
        <w:spacing w:line="360" w:lineRule="auto"/>
        <w:rPr>
          <w:rFonts w:ascii="仿宋_GB2312" w:hAnsi="仿宋" w:eastAsia="仿宋_GB2312" w:cs="仿宋_GB2312"/>
          <w:color w:val="000000" w:themeColor="text1"/>
          <w:szCs w:val="21"/>
        </w:rPr>
      </w:pPr>
    </w:p>
    <w:p w14:paraId="257C7A0D">
      <w:pPr>
        <w:spacing w:line="360" w:lineRule="auto"/>
        <w:rPr>
          <w:rFonts w:ascii="仿宋_GB2312" w:hAnsi="仿宋" w:eastAsia="仿宋_GB2312" w:cs="仿宋_GB2312"/>
          <w:color w:val="000000" w:themeColor="text1"/>
          <w:szCs w:val="21"/>
        </w:rPr>
      </w:pPr>
    </w:p>
    <w:p w14:paraId="560ED034">
      <w:pPr>
        <w:spacing w:line="360" w:lineRule="auto"/>
        <w:rPr>
          <w:rFonts w:ascii="仿宋_GB2312" w:hAnsi="仿宋" w:eastAsia="仿宋_GB2312" w:cs="仿宋_GB2312"/>
          <w:color w:val="000000" w:themeColor="text1"/>
          <w:szCs w:val="21"/>
        </w:rPr>
      </w:pPr>
    </w:p>
    <w:p w14:paraId="340ED0C9">
      <w:pPr>
        <w:spacing w:line="360" w:lineRule="auto"/>
        <w:rPr>
          <w:rFonts w:ascii="仿宋_GB2312" w:hAnsi="仿宋" w:eastAsia="仿宋_GB2312" w:cs="仿宋_GB2312"/>
          <w:color w:val="000000" w:themeColor="text1"/>
          <w:szCs w:val="21"/>
        </w:rPr>
      </w:pPr>
    </w:p>
    <w:p w14:paraId="0583D54E">
      <w:pPr>
        <w:spacing w:line="360" w:lineRule="auto"/>
        <w:rPr>
          <w:rFonts w:ascii="仿宋_GB2312" w:hAnsi="仿宋" w:eastAsia="仿宋_GB2312" w:cs="仿宋_GB2312"/>
          <w:color w:val="000000" w:themeColor="text1"/>
          <w:szCs w:val="21"/>
          <w:u w:val="single"/>
        </w:rPr>
      </w:pPr>
      <w:r>
        <w:rPr>
          <w:rFonts w:hint="eastAsia" w:ascii="仿宋_GB2312" w:hAnsi="仿宋" w:eastAsia="仿宋_GB2312" w:cs="仿宋_GB2312"/>
          <w:color w:val="000000" w:themeColor="text1"/>
          <w:szCs w:val="21"/>
        </w:rPr>
        <w:t>供应商名称（加盖单位公章）：</w:t>
      </w:r>
    </w:p>
    <w:p w14:paraId="3DC16A63">
      <w:pPr>
        <w:spacing w:line="360" w:lineRule="auto"/>
        <w:rPr>
          <w:rFonts w:ascii="仿宋_GB2312" w:hAnsi="仿宋" w:eastAsia="仿宋_GB2312" w:cs="仿宋_GB2312"/>
          <w:color w:val="000000" w:themeColor="text1"/>
          <w:szCs w:val="21"/>
          <w:u w:val="single"/>
        </w:rPr>
      </w:pPr>
      <w:r>
        <w:rPr>
          <w:rFonts w:hint="eastAsia" w:ascii="仿宋_GB2312" w:hAnsi="仿宋" w:eastAsia="仿宋_GB2312" w:cs="仿宋_GB2312"/>
          <w:color w:val="000000" w:themeColor="text1"/>
          <w:szCs w:val="21"/>
        </w:rPr>
        <w:t>日期：</w:t>
      </w:r>
    </w:p>
    <w:p w14:paraId="4169CE45">
      <w:pPr>
        <w:spacing w:line="360" w:lineRule="auto"/>
        <w:rPr>
          <w:rFonts w:ascii="仿宋_GB2312" w:hAnsi="仿宋" w:eastAsia="仿宋_GB2312" w:cs="Times New Roman"/>
          <w:color w:val="000000" w:themeColor="text1"/>
          <w:szCs w:val="21"/>
        </w:rPr>
      </w:pPr>
    </w:p>
    <w:p w14:paraId="5CA3C586">
      <w:pPr>
        <w:spacing w:line="360" w:lineRule="auto"/>
        <w:jc w:val="left"/>
        <w:rPr>
          <w:rFonts w:ascii="仿宋_GB2312" w:hAnsi="仿宋" w:eastAsia="仿宋_GB2312" w:cs="仿宋_GB2312"/>
          <w:color w:val="000000" w:themeColor="text1"/>
          <w:szCs w:val="21"/>
        </w:rPr>
      </w:pPr>
    </w:p>
    <w:p w14:paraId="2E908AC9">
      <w:pPr>
        <w:spacing w:line="360" w:lineRule="auto"/>
        <w:jc w:val="left"/>
        <w:rPr>
          <w:rFonts w:ascii="仿宋_GB2312" w:hAnsi="仿宋" w:eastAsia="仿宋_GB2312" w:cs="仿宋_GB2312"/>
          <w:color w:val="000000" w:themeColor="text1"/>
          <w:szCs w:val="21"/>
        </w:rPr>
      </w:pPr>
    </w:p>
    <w:p w14:paraId="74F8B6F1">
      <w:pPr>
        <w:spacing w:line="360" w:lineRule="auto"/>
        <w:jc w:val="left"/>
        <w:rPr>
          <w:rFonts w:ascii="仿宋_GB2312" w:hAnsi="仿宋" w:eastAsia="仿宋_GB2312" w:cs="仿宋_GB2312"/>
          <w:color w:val="000000" w:themeColor="text1"/>
          <w:szCs w:val="21"/>
        </w:rPr>
      </w:pPr>
    </w:p>
    <w:p w14:paraId="7A43B2A0">
      <w:pPr>
        <w:spacing w:line="360" w:lineRule="auto"/>
        <w:jc w:val="left"/>
        <w:rPr>
          <w:rFonts w:ascii="仿宋_GB2312" w:hAnsi="仿宋" w:eastAsia="仿宋_GB2312" w:cs="仿宋_GB2312"/>
          <w:color w:val="000000" w:themeColor="text1"/>
          <w:szCs w:val="21"/>
        </w:rPr>
      </w:pPr>
    </w:p>
    <w:p w14:paraId="1CDC94EA">
      <w:pPr>
        <w:spacing w:line="360" w:lineRule="auto"/>
        <w:jc w:val="left"/>
        <w:rPr>
          <w:rFonts w:ascii="仿宋_GB2312" w:hAnsi="仿宋" w:eastAsia="仿宋_GB2312" w:cs="仿宋_GB2312"/>
          <w:color w:val="000000" w:themeColor="text1"/>
          <w:szCs w:val="21"/>
        </w:rPr>
      </w:pPr>
    </w:p>
    <w:p w14:paraId="1F46B936">
      <w:pPr>
        <w:spacing w:before="312" w:beforeLines="100" w:after="312" w:afterLines="100" w:line="360" w:lineRule="auto"/>
        <w:ind w:right="-21" w:rightChars="-10"/>
        <w:jc w:val="center"/>
        <w:rPr>
          <w:rFonts w:ascii="仿宋_GB2312" w:hAnsi="仿宋" w:eastAsia="仿宋_GB2312" w:cs="仿宋_GB2312"/>
          <w:b/>
          <w:color w:val="000000" w:themeColor="text1"/>
          <w:sz w:val="28"/>
          <w:szCs w:val="28"/>
        </w:rPr>
      </w:pPr>
      <w:r>
        <w:rPr>
          <w:rFonts w:hint="eastAsia" w:ascii="仿宋_GB2312" w:hAnsi="仿宋" w:eastAsia="仿宋_GB2312" w:cs="仿宋_GB2312"/>
          <w:b/>
          <w:color w:val="000000" w:themeColor="text1"/>
          <w:sz w:val="28"/>
          <w:szCs w:val="28"/>
        </w:rPr>
        <w:t>具有良好的商业信誉和健全的财务会计制度的承诺函</w:t>
      </w:r>
    </w:p>
    <w:p w14:paraId="76AEDA3A">
      <w:pPr>
        <w:spacing w:before="312" w:beforeLines="100" w:after="312" w:afterLines="100" w:line="360" w:lineRule="auto"/>
        <w:ind w:right="630" w:rightChars="300"/>
        <w:jc w:val="center"/>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（格式自拟）</w:t>
      </w:r>
    </w:p>
    <w:p w14:paraId="16CBF6F4">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rPr>
      </w:pPr>
    </w:p>
    <w:p w14:paraId="44C13A3F">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rPr>
      </w:pPr>
    </w:p>
    <w:p w14:paraId="4E4A163A">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rPr>
      </w:pPr>
    </w:p>
    <w:p w14:paraId="6A0C458F">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rPr>
      </w:pPr>
    </w:p>
    <w:p w14:paraId="71C93F36">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rPr>
      </w:pPr>
    </w:p>
    <w:p w14:paraId="4549AE81">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rPr>
      </w:pPr>
    </w:p>
    <w:p w14:paraId="44123782">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rPr>
      </w:pPr>
    </w:p>
    <w:p w14:paraId="20410A49">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rPr>
      </w:pPr>
    </w:p>
    <w:p w14:paraId="2DD0626C">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rPr>
      </w:pPr>
    </w:p>
    <w:p w14:paraId="5ED6B77A">
      <w:pPr>
        <w:snapToGrid w:val="0"/>
        <w:spacing w:line="360" w:lineRule="auto"/>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供应商名称（加盖单位公章）：</w:t>
      </w:r>
    </w:p>
    <w:p w14:paraId="4A7397AD">
      <w:pPr>
        <w:snapToGrid w:val="0"/>
        <w:spacing w:line="360" w:lineRule="auto"/>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法定代表人（或非法人组织负责人）或其授权委托人(签字或盖章)：</w:t>
      </w:r>
    </w:p>
    <w:p w14:paraId="68A03CBF">
      <w:pPr>
        <w:adjustRightInd w:val="0"/>
        <w:snapToGrid w:val="0"/>
        <w:spacing w:line="360" w:lineRule="auto"/>
        <w:ind w:right="105" w:rightChars="50"/>
        <w:jc w:val="left"/>
        <w:rPr>
          <w:rFonts w:ascii="仿宋_GB2312" w:hAnsi="仿宋" w:eastAsia="仿宋_GB2312" w:cs="仿宋_GB2312"/>
          <w:color w:val="000000" w:themeColor="text1"/>
          <w:szCs w:val="21"/>
          <w:u w:val="single"/>
        </w:rPr>
      </w:pPr>
      <w:r>
        <w:rPr>
          <w:rFonts w:hint="eastAsia" w:ascii="仿宋_GB2312" w:hAnsi="仿宋" w:eastAsia="仿宋_GB2312" w:cs="仿宋_GB2312"/>
          <w:color w:val="000000" w:themeColor="text1"/>
          <w:szCs w:val="21"/>
        </w:rPr>
        <w:t>日期：</w:t>
      </w:r>
    </w:p>
    <w:p w14:paraId="73B09FC4">
      <w:pPr>
        <w:spacing w:line="360" w:lineRule="auto"/>
        <w:rPr>
          <w:rFonts w:ascii="仿宋_GB2312" w:hAnsi="仿宋" w:eastAsia="仿宋_GB2312" w:cs="Times New Roman"/>
          <w:color w:val="000000" w:themeColor="text1"/>
          <w:szCs w:val="21"/>
        </w:rPr>
      </w:pPr>
    </w:p>
    <w:p w14:paraId="5F540CCF">
      <w:pPr>
        <w:spacing w:line="360" w:lineRule="auto"/>
        <w:jc w:val="left"/>
        <w:rPr>
          <w:rFonts w:ascii="仿宋_GB2312" w:hAnsi="仿宋" w:eastAsia="仿宋_GB2312" w:cs="仿宋_GB2312"/>
          <w:color w:val="000000" w:themeColor="text1"/>
          <w:szCs w:val="21"/>
        </w:rPr>
      </w:pPr>
    </w:p>
    <w:p w14:paraId="21802198">
      <w:pPr>
        <w:spacing w:line="360" w:lineRule="auto"/>
        <w:jc w:val="left"/>
        <w:rPr>
          <w:rFonts w:ascii="仿宋_GB2312" w:hAnsi="仿宋" w:eastAsia="仿宋_GB2312" w:cs="仿宋_GB2312"/>
          <w:color w:val="000000" w:themeColor="text1"/>
          <w:szCs w:val="21"/>
        </w:rPr>
      </w:pPr>
    </w:p>
    <w:p w14:paraId="62778D1F">
      <w:pPr>
        <w:spacing w:line="360" w:lineRule="auto"/>
        <w:jc w:val="left"/>
        <w:rPr>
          <w:rFonts w:ascii="仿宋_GB2312" w:hAnsi="仿宋" w:eastAsia="仿宋_GB2312" w:cs="仿宋_GB2312"/>
          <w:color w:val="000000" w:themeColor="text1"/>
          <w:szCs w:val="21"/>
        </w:rPr>
      </w:pPr>
    </w:p>
    <w:p w14:paraId="417771F5">
      <w:pPr>
        <w:spacing w:line="360" w:lineRule="auto"/>
        <w:jc w:val="left"/>
        <w:rPr>
          <w:rFonts w:ascii="仿宋_GB2312" w:hAnsi="仿宋" w:eastAsia="仿宋_GB2312" w:cs="仿宋_GB2312"/>
          <w:color w:val="000000" w:themeColor="text1"/>
          <w:szCs w:val="21"/>
        </w:rPr>
      </w:pPr>
    </w:p>
    <w:p w14:paraId="7B30C032">
      <w:pPr>
        <w:spacing w:line="360" w:lineRule="auto"/>
        <w:jc w:val="left"/>
        <w:rPr>
          <w:rFonts w:ascii="仿宋_GB2312" w:hAnsi="仿宋" w:eastAsia="仿宋_GB2312" w:cs="仿宋_GB2312"/>
          <w:color w:val="000000" w:themeColor="text1"/>
          <w:szCs w:val="21"/>
        </w:rPr>
      </w:pPr>
    </w:p>
    <w:p w14:paraId="3A52B32B">
      <w:pPr>
        <w:spacing w:line="360" w:lineRule="auto"/>
        <w:jc w:val="left"/>
        <w:rPr>
          <w:rFonts w:ascii="仿宋_GB2312" w:hAnsi="仿宋" w:eastAsia="仿宋_GB2312" w:cs="仿宋_GB2312"/>
          <w:color w:val="000000" w:themeColor="text1"/>
          <w:szCs w:val="21"/>
        </w:rPr>
      </w:pPr>
    </w:p>
    <w:p w14:paraId="46A16F1E">
      <w:pPr>
        <w:spacing w:line="360" w:lineRule="auto"/>
        <w:jc w:val="left"/>
        <w:rPr>
          <w:rFonts w:ascii="仿宋_GB2312" w:hAnsi="仿宋" w:eastAsia="仿宋_GB2312" w:cs="仿宋_GB2312"/>
          <w:color w:val="000000" w:themeColor="text1"/>
          <w:szCs w:val="21"/>
        </w:rPr>
      </w:pPr>
    </w:p>
    <w:p w14:paraId="202D593C">
      <w:pPr>
        <w:spacing w:line="360" w:lineRule="auto"/>
        <w:jc w:val="left"/>
        <w:rPr>
          <w:rFonts w:ascii="仿宋_GB2312" w:hAnsi="仿宋" w:eastAsia="仿宋_GB2312" w:cs="仿宋_GB2312"/>
          <w:color w:val="000000" w:themeColor="text1"/>
          <w:szCs w:val="21"/>
        </w:rPr>
      </w:pPr>
    </w:p>
    <w:p w14:paraId="736241D3">
      <w:pPr>
        <w:spacing w:line="360" w:lineRule="auto"/>
        <w:jc w:val="left"/>
        <w:rPr>
          <w:rFonts w:ascii="仿宋_GB2312" w:hAnsi="仿宋" w:eastAsia="仿宋_GB2312" w:cs="仿宋_GB2312"/>
          <w:color w:val="000000" w:themeColor="text1"/>
          <w:szCs w:val="21"/>
        </w:rPr>
      </w:pPr>
    </w:p>
    <w:p w14:paraId="150B8C17">
      <w:pPr>
        <w:spacing w:line="360" w:lineRule="auto"/>
        <w:jc w:val="left"/>
        <w:rPr>
          <w:rFonts w:ascii="仿宋_GB2312" w:hAnsi="仿宋" w:eastAsia="仿宋_GB2312" w:cs="仿宋_GB2312"/>
          <w:color w:val="000000" w:themeColor="text1"/>
          <w:szCs w:val="21"/>
        </w:rPr>
      </w:pPr>
    </w:p>
    <w:p w14:paraId="3961C3D8">
      <w:pPr>
        <w:spacing w:line="360" w:lineRule="auto"/>
        <w:jc w:val="left"/>
        <w:rPr>
          <w:rFonts w:ascii="仿宋_GB2312" w:hAnsi="仿宋" w:eastAsia="仿宋_GB2312" w:cs="仿宋_GB2312"/>
          <w:color w:val="000000" w:themeColor="text1"/>
          <w:szCs w:val="21"/>
        </w:rPr>
      </w:pPr>
    </w:p>
    <w:p w14:paraId="12730C65">
      <w:pPr>
        <w:spacing w:line="360" w:lineRule="auto"/>
        <w:jc w:val="left"/>
        <w:rPr>
          <w:rFonts w:ascii="仿宋_GB2312" w:hAnsi="仿宋" w:eastAsia="仿宋_GB2312" w:cs="仿宋_GB2312"/>
          <w:color w:val="000000" w:themeColor="text1"/>
          <w:szCs w:val="21"/>
        </w:rPr>
      </w:pPr>
    </w:p>
    <w:p w14:paraId="6D95C0CA">
      <w:pPr>
        <w:spacing w:line="360" w:lineRule="auto"/>
        <w:jc w:val="left"/>
        <w:rPr>
          <w:rFonts w:ascii="仿宋_GB2312" w:hAnsi="仿宋" w:eastAsia="仿宋_GB2312" w:cs="仿宋_GB2312"/>
          <w:color w:val="000000" w:themeColor="text1"/>
          <w:szCs w:val="21"/>
        </w:rPr>
      </w:pPr>
    </w:p>
    <w:p w14:paraId="4F2A1EBD">
      <w:pPr>
        <w:spacing w:line="360" w:lineRule="auto"/>
        <w:jc w:val="left"/>
        <w:rPr>
          <w:rFonts w:ascii="仿宋_GB2312" w:hAnsi="仿宋" w:eastAsia="仿宋_GB2312" w:cs="仿宋_GB2312"/>
          <w:color w:val="000000" w:themeColor="text1"/>
          <w:szCs w:val="21"/>
        </w:rPr>
      </w:pPr>
    </w:p>
    <w:p w14:paraId="626BFD7F">
      <w:pPr>
        <w:spacing w:before="312" w:beforeLines="100" w:after="312" w:afterLines="100" w:line="360" w:lineRule="auto"/>
        <w:rPr>
          <w:rFonts w:ascii="仿宋_GB2312" w:hAnsi="仿宋" w:eastAsia="仿宋_GB2312" w:cs="仿宋_GB2312"/>
          <w:b/>
          <w:bCs/>
          <w:color w:val="000000" w:themeColor="text1"/>
          <w:sz w:val="28"/>
          <w:szCs w:val="28"/>
        </w:rPr>
      </w:pPr>
      <w:r>
        <w:rPr>
          <w:rFonts w:hint="eastAsia" w:ascii="仿宋_GB2312" w:hAnsi="仿宋" w:eastAsia="仿宋_GB2312" w:cs="仿宋_GB2312"/>
          <w:b/>
          <w:bCs/>
          <w:color w:val="000000" w:themeColor="text1"/>
          <w:sz w:val="28"/>
          <w:szCs w:val="28"/>
        </w:rPr>
        <w:t>参加政府采购活动前3年内在经营活动中没有重大违法记录的</w:t>
      </w:r>
    </w:p>
    <w:p w14:paraId="42827FC9">
      <w:pPr>
        <w:spacing w:before="312" w:beforeLines="100" w:after="312" w:afterLines="100" w:line="360" w:lineRule="auto"/>
        <w:ind w:firstLine="2811" w:firstLineChars="1000"/>
        <w:rPr>
          <w:rFonts w:ascii="仿宋_GB2312" w:hAnsi="仿宋" w:eastAsia="仿宋_GB2312" w:cs="仿宋_GB2312"/>
          <w:b/>
          <w:bCs/>
          <w:color w:val="000000" w:themeColor="text1"/>
          <w:sz w:val="28"/>
          <w:szCs w:val="28"/>
        </w:rPr>
      </w:pPr>
      <w:r>
        <w:rPr>
          <w:rFonts w:hint="eastAsia" w:ascii="仿宋_GB2312" w:hAnsi="仿宋" w:eastAsia="仿宋_GB2312" w:cs="仿宋_GB2312"/>
          <w:b/>
          <w:bCs/>
          <w:color w:val="000000" w:themeColor="text1"/>
          <w:sz w:val="28"/>
          <w:szCs w:val="28"/>
        </w:rPr>
        <w:t>书面声明</w:t>
      </w:r>
    </w:p>
    <w:p w14:paraId="2CDFED5E">
      <w:pPr>
        <w:spacing w:before="156" w:beforeLines="50" w:after="156" w:afterLines="50" w:line="360" w:lineRule="auto"/>
        <w:ind w:right="630" w:rightChars="300"/>
        <w:rPr>
          <w:rFonts w:ascii="仿宋_GB2312" w:hAnsi="仿宋" w:eastAsia="仿宋_GB2312" w:cs="仿宋_GB2312"/>
          <w:color w:val="000000" w:themeColor="text1"/>
          <w:szCs w:val="21"/>
        </w:rPr>
      </w:pPr>
    </w:p>
    <w:p w14:paraId="66990DBF">
      <w:pPr>
        <w:spacing w:line="360" w:lineRule="auto"/>
        <w:ind w:right="630" w:rightChars="300"/>
        <w:rPr>
          <w:rFonts w:ascii="仿宋_GB2312" w:hAnsi="仿宋" w:eastAsia="仿宋_GB2312" w:cs="仿宋_GB2312"/>
          <w:b/>
          <w:color w:val="000000" w:themeColor="text1"/>
          <w:szCs w:val="21"/>
        </w:rPr>
      </w:pPr>
      <w:r>
        <w:rPr>
          <w:rFonts w:hint="eastAsia" w:ascii="仿宋_GB2312" w:hAnsi="仿宋" w:eastAsia="仿宋_GB2312" w:cs="仿宋_GB2312"/>
          <w:b/>
          <w:color w:val="000000" w:themeColor="text1"/>
          <w:szCs w:val="21"/>
          <w:u w:val="single"/>
        </w:rPr>
        <w:t xml:space="preserve">（采购人或采购代理机构名称） </w:t>
      </w:r>
      <w:r>
        <w:rPr>
          <w:rFonts w:hint="eastAsia" w:ascii="仿宋_GB2312" w:hAnsi="仿宋" w:eastAsia="仿宋_GB2312" w:cs="仿宋_GB2312"/>
          <w:b/>
          <w:color w:val="000000" w:themeColor="text1"/>
          <w:szCs w:val="21"/>
        </w:rPr>
        <w:t xml:space="preserve"> ：</w:t>
      </w:r>
    </w:p>
    <w:p w14:paraId="7644956B">
      <w:pPr>
        <w:spacing w:line="360" w:lineRule="auto"/>
        <w:ind w:right="-21" w:rightChars="-10" w:firstLine="493" w:firstLineChars="235"/>
        <w:rPr>
          <w:rFonts w:ascii="仿宋_GB2312" w:hAnsi="仿宋" w:eastAsia="仿宋_GB2312" w:cs="仿宋_GB2312"/>
          <w:color w:val="000000" w:themeColor="text1"/>
          <w:szCs w:val="21"/>
        </w:rPr>
      </w:pPr>
      <w:r>
        <w:rPr>
          <w:rFonts w:hint="eastAsia" w:ascii="仿宋_GB2312" w:hAnsi="仿宋" w:eastAsia="仿宋_GB2312" w:cs="仿宋_GB2312"/>
          <w:bCs/>
          <w:color w:val="000000" w:themeColor="text1"/>
          <w:szCs w:val="21"/>
        </w:rPr>
        <w:t>在本项目提交响应文件截止时间前，</w:t>
      </w:r>
      <w:r>
        <w:rPr>
          <w:rFonts w:hint="eastAsia" w:ascii="仿宋_GB2312" w:hAnsi="仿宋" w:eastAsia="仿宋_GB2312" w:cs="仿宋_GB2312"/>
          <w:color w:val="000000" w:themeColor="text1"/>
          <w:szCs w:val="21"/>
        </w:rPr>
        <w:t>我单位参加本次政府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7A4D3AA7">
      <w:pPr>
        <w:tabs>
          <w:tab w:val="left" w:pos="10065"/>
        </w:tabs>
        <w:spacing w:line="360" w:lineRule="auto"/>
        <w:ind w:right="-21" w:rightChars="-10" w:firstLine="371" w:firstLineChars="177"/>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如发现我单位提供的声明函不实时，我单位将按照《政府采购法》有关提供虚假材料的规定，接受处罚。</w:t>
      </w:r>
    </w:p>
    <w:p w14:paraId="692715A3">
      <w:pPr>
        <w:spacing w:line="360" w:lineRule="auto"/>
        <w:ind w:right="1050" w:rightChars="500" w:firstLine="420" w:firstLineChars="200"/>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特此声明。</w:t>
      </w:r>
    </w:p>
    <w:p w14:paraId="2A4596EA">
      <w:pPr>
        <w:spacing w:line="360" w:lineRule="auto"/>
        <w:ind w:right="1050" w:rightChars="500" w:firstLine="420" w:firstLineChars="200"/>
        <w:rPr>
          <w:rFonts w:ascii="仿宋_GB2312" w:hAnsi="仿宋" w:eastAsia="仿宋_GB2312" w:cs="仿宋_GB2312"/>
          <w:color w:val="000000" w:themeColor="text1"/>
          <w:szCs w:val="21"/>
        </w:rPr>
      </w:pPr>
    </w:p>
    <w:p w14:paraId="4EF04D06">
      <w:pPr>
        <w:spacing w:before="156" w:beforeLines="50" w:after="156" w:afterLines="50" w:line="360" w:lineRule="auto"/>
        <w:ind w:right="1050" w:rightChars="500" w:firstLine="420" w:firstLineChars="200"/>
        <w:rPr>
          <w:rFonts w:ascii="仿宋_GB2312" w:hAnsi="仿宋" w:eastAsia="仿宋_GB2312" w:cs="仿宋_GB2312"/>
          <w:color w:val="000000" w:themeColor="text1"/>
          <w:szCs w:val="21"/>
        </w:rPr>
      </w:pPr>
    </w:p>
    <w:p w14:paraId="35C41AB0">
      <w:pPr>
        <w:spacing w:before="156" w:beforeLines="50" w:after="156" w:afterLines="50" w:line="360" w:lineRule="auto"/>
        <w:ind w:right="1050" w:rightChars="500" w:firstLine="420" w:firstLineChars="200"/>
        <w:rPr>
          <w:rFonts w:ascii="仿宋_GB2312" w:hAnsi="仿宋" w:eastAsia="仿宋_GB2312" w:cs="仿宋_GB2312"/>
          <w:color w:val="000000" w:themeColor="text1"/>
          <w:szCs w:val="21"/>
        </w:rPr>
      </w:pPr>
    </w:p>
    <w:p w14:paraId="4AA97DD6">
      <w:pPr>
        <w:spacing w:line="360" w:lineRule="auto"/>
        <w:ind w:left="1050" w:leftChars="500" w:right="1050" w:rightChars="500" w:firstLine="420" w:firstLineChars="200"/>
        <w:rPr>
          <w:rFonts w:ascii="仿宋_GB2312" w:hAnsi="仿宋" w:eastAsia="仿宋_GB2312" w:cs="仿宋_GB2312"/>
          <w:color w:val="000000" w:themeColor="text1"/>
          <w:szCs w:val="21"/>
        </w:rPr>
      </w:pPr>
    </w:p>
    <w:p w14:paraId="243D31AA">
      <w:pPr>
        <w:spacing w:line="360" w:lineRule="auto"/>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供应商名称（加盖单位公章）：</w:t>
      </w:r>
    </w:p>
    <w:p w14:paraId="63DE5ABA">
      <w:pPr>
        <w:spacing w:line="360" w:lineRule="auto"/>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 xml:space="preserve">法定代表人（或非法人组织负责人）或其授权委托人(签字或盖章)： </w:t>
      </w:r>
    </w:p>
    <w:p w14:paraId="05CAA1C3">
      <w:pPr>
        <w:spacing w:line="360" w:lineRule="auto"/>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 xml:space="preserve">日期： </w:t>
      </w:r>
    </w:p>
    <w:p w14:paraId="2E9B56DC">
      <w:pPr>
        <w:spacing w:line="360" w:lineRule="auto"/>
        <w:rPr>
          <w:rFonts w:ascii="仿宋_GB2312" w:hAnsi="仿宋" w:eastAsia="仿宋_GB2312" w:cs="Times New Roman"/>
          <w:color w:val="000000" w:themeColor="text1"/>
          <w:szCs w:val="21"/>
        </w:rPr>
      </w:pPr>
    </w:p>
    <w:p w14:paraId="634C3BB7">
      <w:pPr>
        <w:spacing w:line="360" w:lineRule="auto"/>
        <w:jc w:val="left"/>
        <w:rPr>
          <w:rFonts w:ascii="仿宋_GB2312" w:hAnsi="仿宋" w:eastAsia="仿宋_GB2312" w:cs="仿宋_GB2312"/>
          <w:color w:val="000000" w:themeColor="text1"/>
          <w:szCs w:val="21"/>
        </w:rPr>
      </w:pPr>
    </w:p>
    <w:p w14:paraId="2CF54BF9">
      <w:pPr>
        <w:spacing w:line="360" w:lineRule="auto"/>
        <w:jc w:val="left"/>
        <w:rPr>
          <w:rFonts w:ascii="仿宋_GB2312" w:hAnsi="仿宋" w:eastAsia="仿宋_GB2312" w:cs="仿宋_GB2312"/>
          <w:color w:val="000000" w:themeColor="text1"/>
          <w:szCs w:val="21"/>
        </w:rPr>
      </w:pPr>
    </w:p>
    <w:p w14:paraId="5EDCB529">
      <w:pPr>
        <w:spacing w:line="360" w:lineRule="auto"/>
        <w:jc w:val="left"/>
        <w:rPr>
          <w:rFonts w:ascii="仿宋_GB2312" w:hAnsi="仿宋" w:eastAsia="仿宋_GB2312" w:cs="仿宋_GB2312"/>
          <w:color w:val="000000" w:themeColor="text1"/>
          <w:szCs w:val="21"/>
        </w:rPr>
      </w:pPr>
    </w:p>
    <w:p w14:paraId="6FD3C860">
      <w:pPr>
        <w:spacing w:line="360" w:lineRule="auto"/>
        <w:jc w:val="left"/>
        <w:rPr>
          <w:rFonts w:ascii="仿宋_GB2312" w:hAnsi="仿宋" w:eastAsia="仿宋_GB2312" w:cs="仿宋_GB2312"/>
          <w:color w:val="000000" w:themeColor="text1"/>
          <w:szCs w:val="21"/>
        </w:rPr>
      </w:pPr>
    </w:p>
    <w:p w14:paraId="724B5F44">
      <w:pPr>
        <w:spacing w:line="360" w:lineRule="auto"/>
        <w:jc w:val="left"/>
        <w:rPr>
          <w:rFonts w:ascii="仿宋_GB2312" w:hAnsi="仿宋" w:eastAsia="仿宋_GB2312" w:cs="仿宋_GB2312"/>
          <w:color w:val="000000" w:themeColor="text1"/>
          <w:szCs w:val="21"/>
        </w:rPr>
      </w:pPr>
    </w:p>
    <w:p w14:paraId="75103491">
      <w:pPr>
        <w:spacing w:line="360" w:lineRule="auto"/>
        <w:jc w:val="left"/>
        <w:rPr>
          <w:rFonts w:ascii="仿宋_GB2312" w:hAnsi="仿宋" w:eastAsia="仿宋_GB2312" w:cs="仿宋_GB2312"/>
          <w:color w:val="000000" w:themeColor="text1"/>
          <w:szCs w:val="21"/>
        </w:rPr>
      </w:pPr>
    </w:p>
    <w:p w14:paraId="1026EF1F">
      <w:pPr>
        <w:spacing w:line="360" w:lineRule="auto"/>
        <w:jc w:val="left"/>
        <w:rPr>
          <w:rFonts w:ascii="仿宋_GB2312" w:hAnsi="仿宋" w:eastAsia="仿宋_GB2312" w:cs="仿宋_GB2312"/>
          <w:color w:val="000000" w:themeColor="text1"/>
          <w:szCs w:val="21"/>
        </w:rPr>
      </w:pPr>
    </w:p>
    <w:p w14:paraId="5E34AC8A">
      <w:pPr>
        <w:spacing w:line="360" w:lineRule="auto"/>
        <w:jc w:val="left"/>
        <w:rPr>
          <w:rFonts w:ascii="仿宋_GB2312" w:hAnsi="仿宋" w:eastAsia="仿宋_GB2312" w:cs="仿宋_GB2312"/>
          <w:color w:val="000000" w:themeColor="text1"/>
          <w:szCs w:val="21"/>
        </w:rPr>
      </w:pPr>
    </w:p>
    <w:p w14:paraId="585E21F6">
      <w:pPr>
        <w:spacing w:line="360" w:lineRule="auto"/>
        <w:jc w:val="center"/>
        <w:rPr>
          <w:rFonts w:ascii="仿宋_GB2312" w:hAnsi="仿宋" w:eastAsia="仿宋_GB2312"/>
          <w:color w:val="000000" w:themeColor="text1"/>
          <w:szCs w:val="21"/>
        </w:rPr>
      </w:pPr>
      <w:r>
        <w:rPr>
          <w:rFonts w:hint="eastAsia" w:ascii="仿宋_GB2312" w:hAnsi="仿宋" w:eastAsia="仿宋_GB2312"/>
          <w:b/>
          <w:color w:val="000000" w:themeColor="text1"/>
          <w:sz w:val="28"/>
          <w:szCs w:val="28"/>
        </w:rPr>
        <w:t>资格审查要求需要提供的其他材料</w:t>
      </w:r>
      <w:r>
        <w:rPr>
          <w:rFonts w:hint="eastAsia" w:ascii="仿宋_GB2312" w:hAnsi="仿宋" w:eastAsia="仿宋_GB2312"/>
          <w:color w:val="000000" w:themeColor="text1"/>
          <w:szCs w:val="21"/>
        </w:rPr>
        <w:t>（未给出格式的）</w:t>
      </w:r>
    </w:p>
    <w:p w14:paraId="340AA8D9">
      <w:pPr>
        <w:spacing w:line="360" w:lineRule="auto"/>
        <w:jc w:val="left"/>
        <w:rPr>
          <w:rFonts w:ascii="仿宋_GB2312" w:hAnsi="仿宋" w:eastAsia="仿宋_GB2312" w:cs="仿宋_GB2312"/>
          <w:color w:val="000000" w:themeColor="text1"/>
          <w:szCs w:val="21"/>
        </w:rPr>
      </w:pPr>
    </w:p>
    <w:p w14:paraId="771092EB">
      <w:pPr>
        <w:spacing w:line="360" w:lineRule="auto"/>
        <w:jc w:val="left"/>
        <w:rPr>
          <w:rFonts w:ascii="仿宋_GB2312" w:hAnsi="仿宋" w:eastAsia="仿宋_GB2312" w:cs="仿宋_GB2312"/>
          <w:color w:val="000000" w:themeColor="text1"/>
          <w:szCs w:val="21"/>
        </w:rPr>
      </w:pPr>
    </w:p>
    <w:p w14:paraId="79782B01">
      <w:pPr>
        <w:spacing w:line="360" w:lineRule="auto"/>
        <w:jc w:val="left"/>
        <w:rPr>
          <w:rFonts w:ascii="仿宋_GB2312" w:hAnsi="仿宋" w:eastAsia="仿宋_GB2312" w:cs="仿宋_GB2312"/>
          <w:color w:val="000000" w:themeColor="text1"/>
          <w:szCs w:val="21"/>
        </w:rPr>
      </w:pPr>
    </w:p>
    <w:p w14:paraId="2E4F2E07">
      <w:pPr>
        <w:spacing w:line="360" w:lineRule="auto"/>
        <w:jc w:val="left"/>
        <w:rPr>
          <w:rFonts w:ascii="仿宋_GB2312" w:hAnsi="仿宋" w:eastAsia="仿宋_GB2312" w:cs="仿宋_GB2312"/>
          <w:color w:val="000000" w:themeColor="text1"/>
          <w:szCs w:val="21"/>
        </w:rPr>
      </w:pPr>
    </w:p>
    <w:p w14:paraId="32164B55">
      <w:pPr>
        <w:spacing w:line="360" w:lineRule="auto"/>
        <w:jc w:val="left"/>
        <w:rPr>
          <w:rFonts w:ascii="仿宋_GB2312" w:hAnsi="仿宋" w:eastAsia="仿宋_GB2312" w:cs="仿宋_GB2312"/>
          <w:color w:val="000000" w:themeColor="text1"/>
          <w:szCs w:val="21"/>
        </w:rPr>
      </w:pPr>
    </w:p>
    <w:p w14:paraId="0DEAA3B0">
      <w:pPr>
        <w:spacing w:line="360" w:lineRule="auto"/>
        <w:jc w:val="left"/>
        <w:rPr>
          <w:rFonts w:ascii="仿宋_GB2312" w:hAnsi="仿宋" w:eastAsia="仿宋_GB2312" w:cs="仿宋_GB2312"/>
          <w:color w:val="000000" w:themeColor="text1"/>
          <w:szCs w:val="21"/>
        </w:rPr>
      </w:pPr>
    </w:p>
    <w:p w14:paraId="38365705">
      <w:pPr>
        <w:spacing w:line="360" w:lineRule="auto"/>
        <w:jc w:val="left"/>
        <w:rPr>
          <w:rFonts w:ascii="仿宋_GB2312" w:hAnsi="仿宋" w:eastAsia="仿宋_GB2312" w:cs="仿宋_GB2312"/>
          <w:color w:val="000000" w:themeColor="text1"/>
          <w:szCs w:val="21"/>
        </w:rPr>
      </w:pPr>
    </w:p>
    <w:p w14:paraId="4F9F372C">
      <w:pPr>
        <w:spacing w:line="360" w:lineRule="auto"/>
        <w:jc w:val="left"/>
        <w:rPr>
          <w:rFonts w:ascii="仿宋_GB2312" w:hAnsi="仿宋" w:eastAsia="仿宋_GB2312" w:cs="仿宋_GB2312"/>
          <w:color w:val="000000" w:themeColor="text1"/>
          <w:szCs w:val="21"/>
        </w:rPr>
      </w:pPr>
    </w:p>
    <w:p w14:paraId="26EA51A2">
      <w:pPr>
        <w:spacing w:line="360" w:lineRule="auto"/>
        <w:jc w:val="left"/>
        <w:rPr>
          <w:rFonts w:ascii="仿宋_GB2312" w:hAnsi="仿宋" w:eastAsia="仿宋_GB2312" w:cs="仿宋_GB2312"/>
          <w:color w:val="000000" w:themeColor="text1"/>
          <w:szCs w:val="21"/>
        </w:rPr>
      </w:pPr>
    </w:p>
    <w:p w14:paraId="61A72867">
      <w:pPr>
        <w:spacing w:line="360" w:lineRule="auto"/>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供应商名称（加盖单位公章）：</w:t>
      </w:r>
    </w:p>
    <w:p w14:paraId="7FB937AE">
      <w:pPr>
        <w:spacing w:line="360" w:lineRule="auto"/>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 xml:space="preserve">法定代表人（或非法人组织负责人）或其授权委托人(签字或盖章)： </w:t>
      </w:r>
    </w:p>
    <w:p w14:paraId="15BC7AAA">
      <w:pPr>
        <w:spacing w:line="360" w:lineRule="auto"/>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 xml:space="preserve">日期： </w:t>
      </w:r>
    </w:p>
    <w:p w14:paraId="0A605564">
      <w:pPr>
        <w:spacing w:line="360" w:lineRule="auto"/>
        <w:jc w:val="left"/>
        <w:rPr>
          <w:rFonts w:ascii="仿宋_GB2312" w:hAnsi="仿宋" w:eastAsia="仿宋_GB2312" w:cs="仿宋_GB2312"/>
          <w:color w:val="000000" w:themeColor="text1"/>
          <w:szCs w:val="21"/>
        </w:rPr>
      </w:pPr>
    </w:p>
    <w:p w14:paraId="03F830A4">
      <w:pPr>
        <w:spacing w:line="360" w:lineRule="auto"/>
        <w:jc w:val="left"/>
        <w:rPr>
          <w:rFonts w:ascii="仿宋_GB2312" w:hAnsi="仿宋" w:eastAsia="仿宋_GB2312" w:cs="仿宋_GB2312"/>
          <w:color w:val="000000" w:themeColor="text1"/>
          <w:szCs w:val="21"/>
        </w:rPr>
      </w:pPr>
    </w:p>
    <w:p w14:paraId="2FE92C6B">
      <w:pPr>
        <w:spacing w:line="360" w:lineRule="auto"/>
        <w:jc w:val="left"/>
        <w:rPr>
          <w:rFonts w:ascii="仿宋_GB2312" w:hAnsi="仿宋" w:eastAsia="仿宋_GB2312" w:cs="仿宋_GB2312"/>
          <w:color w:val="000000" w:themeColor="text1"/>
          <w:szCs w:val="21"/>
        </w:rPr>
      </w:pPr>
    </w:p>
    <w:p w14:paraId="2E9C561B">
      <w:pPr>
        <w:spacing w:line="360" w:lineRule="auto"/>
        <w:jc w:val="left"/>
        <w:rPr>
          <w:rFonts w:ascii="仿宋_GB2312" w:hAnsi="仿宋" w:eastAsia="仿宋_GB2312" w:cs="仿宋_GB2312"/>
          <w:color w:val="000000" w:themeColor="text1"/>
          <w:szCs w:val="21"/>
        </w:rPr>
      </w:pPr>
    </w:p>
    <w:p w14:paraId="3BCAFF9A">
      <w:pPr>
        <w:spacing w:line="360" w:lineRule="auto"/>
        <w:jc w:val="left"/>
        <w:rPr>
          <w:rFonts w:ascii="仿宋_GB2312" w:hAnsi="仿宋" w:eastAsia="仿宋_GB2312" w:cs="仿宋_GB2312"/>
          <w:color w:val="000000" w:themeColor="text1"/>
          <w:szCs w:val="21"/>
        </w:rPr>
      </w:pPr>
    </w:p>
    <w:p w14:paraId="32079C84">
      <w:pPr>
        <w:spacing w:line="360" w:lineRule="auto"/>
        <w:jc w:val="left"/>
        <w:rPr>
          <w:rFonts w:ascii="仿宋_GB2312" w:hAnsi="仿宋" w:eastAsia="仿宋_GB2312" w:cs="仿宋_GB2312"/>
          <w:color w:val="000000" w:themeColor="text1"/>
          <w:szCs w:val="21"/>
        </w:rPr>
      </w:pPr>
    </w:p>
    <w:p w14:paraId="574B6B96">
      <w:pPr>
        <w:spacing w:line="360" w:lineRule="auto"/>
        <w:jc w:val="left"/>
        <w:rPr>
          <w:rFonts w:ascii="仿宋_GB2312" w:hAnsi="仿宋" w:eastAsia="仿宋_GB2312" w:cs="仿宋_GB2312"/>
          <w:color w:val="000000" w:themeColor="text1"/>
          <w:szCs w:val="21"/>
        </w:rPr>
      </w:pPr>
    </w:p>
    <w:p w14:paraId="24230AE2">
      <w:pPr>
        <w:spacing w:line="360" w:lineRule="auto"/>
        <w:jc w:val="left"/>
        <w:rPr>
          <w:rFonts w:ascii="仿宋_GB2312" w:hAnsi="仿宋" w:eastAsia="仿宋_GB2312" w:cs="仿宋_GB2312"/>
          <w:color w:val="000000" w:themeColor="text1"/>
          <w:szCs w:val="21"/>
        </w:rPr>
      </w:pPr>
    </w:p>
    <w:p w14:paraId="2894B64E">
      <w:pPr>
        <w:spacing w:line="360" w:lineRule="auto"/>
        <w:jc w:val="left"/>
        <w:rPr>
          <w:rFonts w:ascii="仿宋_GB2312" w:hAnsi="仿宋" w:eastAsia="仿宋_GB2312" w:cs="仿宋_GB2312"/>
          <w:color w:val="000000" w:themeColor="text1"/>
          <w:szCs w:val="21"/>
        </w:rPr>
      </w:pPr>
    </w:p>
    <w:p w14:paraId="2CC0ABE1">
      <w:pPr>
        <w:spacing w:line="360" w:lineRule="auto"/>
        <w:jc w:val="left"/>
        <w:rPr>
          <w:rFonts w:ascii="仿宋_GB2312" w:hAnsi="仿宋" w:eastAsia="仿宋_GB2312" w:cs="仿宋_GB2312"/>
          <w:color w:val="000000" w:themeColor="text1"/>
          <w:szCs w:val="21"/>
        </w:rPr>
      </w:pPr>
    </w:p>
    <w:p w14:paraId="6BD05763">
      <w:pPr>
        <w:spacing w:line="360" w:lineRule="auto"/>
        <w:jc w:val="left"/>
        <w:rPr>
          <w:rFonts w:ascii="仿宋_GB2312" w:hAnsi="仿宋" w:eastAsia="仿宋_GB2312" w:cs="仿宋_GB2312"/>
          <w:color w:val="000000" w:themeColor="text1"/>
          <w:szCs w:val="21"/>
        </w:rPr>
      </w:pPr>
    </w:p>
    <w:p w14:paraId="78FE6418">
      <w:pPr>
        <w:spacing w:line="360" w:lineRule="auto"/>
        <w:jc w:val="left"/>
        <w:rPr>
          <w:rFonts w:ascii="仿宋_GB2312" w:hAnsi="仿宋" w:eastAsia="仿宋_GB2312" w:cs="仿宋_GB2312"/>
          <w:color w:val="000000" w:themeColor="text1"/>
          <w:szCs w:val="21"/>
        </w:rPr>
      </w:pPr>
    </w:p>
    <w:p w14:paraId="096DAC05">
      <w:pPr>
        <w:spacing w:line="360" w:lineRule="auto"/>
        <w:jc w:val="left"/>
        <w:rPr>
          <w:rFonts w:ascii="仿宋_GB2312" w:hAnsi="仿宋" w:eastAsia="仿宋_GB2312" w:cs="仿宋_GB2312"/>
          <w:color w:val="000000" w:themeColor="text1"/>
          <w:szCs w:val="21"/>
        </w:rPr>
      </w:pPr>
    </w:p>
    <w:p w14:paraId="638038C6">
      <w:pPr>
        <w:spacing w:line="360" w:lineRule="auto"/>
        <w:jc w:val="left"/>
        <w:rPr>
          <w:rFonts w:ascii="仿宋_GB2312" w:hAnsi="仿宋" w:eastAsia="仿宋_GB2312" w:cs="仿宋_GB2312"/>
          <w:color w:val="000000" w:themeColor="text1"/>
          <w:szCs w:val="21"/>
        </w:rPr>
      </w:pPr>
    </w:p>
    <w:p w14:paraId="06629CBF">
      <w:pPr>
        <w:spacing w:line="360" w:lineRule="auto"/>
        <w:jc w:val="left"/>
        <w:rPr>
          <w:rFonts w:ascii="仿宋_GB2312" w:hAnsi="仿宋" w:eastAsia="仿宋_GB2312" w:cs="仿宋_GB2312"/>
          <w:color w:val="000000" w:themeColor="text1"/>
          <w:szCs w:val="21"/>
        </w:rPr>
      </w:pPr>
    </w:p>
    <w:p w14:paraId="418EBDB4">
      <w:pPr>
        <w:spacing w:line="360" w:lineRule="auto"/>
        <w:jc w:val="left"/>
        <w:rPr>
          <w:rFonts w:ascii="仿宋_GB2312" w:hAnsi="仿宋" w:eastAsia="仿宋_GB2312" w:cs="仿宋_GB2312"/>
          <w:color w:val="000000" w:themeColor="text1"/>
          <w:szCs w:val="21"/>
        </w:rPr>
      </w:pPr>
    </w:p>
    <w:p w14:paraId="211F8C35">
      <w:pPr>
        <w:spacing w:line="360" w:lineRule="auto"/>
        <w:jc w:val="left"/>
        <w:rPr>
          <w:rFonts w:ascii="仿宋_GB2312" w:hAnsi="仿宋" w:eastAsia="仿宋_GB2312" w:cs="仿宋_GB2312"/>
          <w:color w:val="000000" w:themeColor="text1"/>
          <w:szCs w:val="21"/>
        </w:rPr>
      </w:pPr>
    </w:p>
    <w:p w14:paraId="336EF1D2">
      <w:pPr>
        <w:spacing w:line="360" w:lineRule="auto"/>
        <w:jc w:val="left"/>
        <w:rPr>
          <w:rFonts w:ascii="仿宋_GB2312" w:hAnsi="仿宋" w:eastAsia="仿宋_GB2312" w:cs="仿宋_GB2312"/>
          <w:color w:val="000000" w:themeColor="text1"/>
          <w:szCs w:val="21"/>
        </w:rPr>
      </w:pPr>
    </w:p>
    <w:p w14:paraId="63717FF0">
      <w:pPr>
        <w:spacing w:line="360" w:lineRule="auto"/>
        <w:jc w:val="left"/>
        <w:rPr>
          <w:rFonts w:ascii="仿宋_GB2312" w:hAnsi="仿宋" w:eastAsia="仿宋_GB2312" w:cs="仿宋_GB2312"/>
          <w:color w:val="000000" w:themeColor="text1"/>
          <w:szCs w:val="21"/>
        </w:rPr>
      </w:pPr>
    </w:p>
    <w:p w14:paraId="68B085AF">
      <w:pPr>
        <w:spacing w:line="360" w:lineRule="auto"/>
        <w:jc w:val="center"/>
        <w:rPr>
          <w:rFonts w:ascii="仿宋_GB2312" w:hAnsi="仿宋" w:eastAsia="仿宋_GB2312"/>
          <w:color w:val="000000" w:themeColor="text1"/>
          <w:szCs w:val="21"/>
        </w:rPr>
      </w:pPr>
      <w:r>
        <w:rPr>
          <w:rFonts w:hint="eastAsia" w:ascii="仿宋_GB2312" w:hAnsi="仿宋" w:eastAsia="仿宋_GB2312"/>
          <w:b/>
          <w:color w:val="000000" w:themeColor="text1"/>
          <w:sz w:val="28"/>
          <w:szCs w:val="28"/>
        </w:rPr>
        <w:t>符合审查要求需要提供的其他材料</w:t>
      </w:r>
      <w:r>
        <w:rPr>
          <w:rFonts w:hint="eastAsia" w:ascii="仿宋_GB2312" w:hAnsi="仿宋" w:eastAsia="仿宋_GB2312"/>
          <w:color w:val="000000" w:themeColor="text1"/>
          <w:szCs w:val="21"/>
        </w:rPr>
        <w:t>（未给出格式的）</w:t>
      </w:r>
    </w:p>
    <w:p w14:paraId="0FE45D2A">
      <w:pPr>
        <w:spacing w:line="360" w:lineRule="auto"/>
        <w:jc w:val="left"/>
        <w:rPr>
          <w:rFonts w:ascii="仿宋_GB2312" w:hAnsi="仿宋" w:eastAsia="仿宋_GB2312" w:cs="仿宋_GB2312"/>
          <w:color w:val="000000" w:themeColor="text1"/>
          <w:szCs w:val="21"/>
        </w:rPr>
      </w:pPr>
    </w:p>
    <w:p w14:paraId="601F20DD">
      <w:pPr>
        <w:spacing w:line="360" w:lineRule="auto"/>
        <w:jc w:val="left"/>
        <w:rPr>
          <w:rFonts w:ascii="仿宋_GB2312" w:hAnsi="仿宋" w:eastAsia="仿宋_GB2312" w:cs="仿宋_GB2312"/>
          <w:color w:val="000000" w:themeColor="text1"/>
          <w:szCs w:val="21"/>
        </w:rPr>
      </w:pPr>
    </w:p>
    <w:p w14:paraId="1F2331F9">
      <w:pPr>
        <w:spacing w:line="360" w:lineRule="auto"/>
        <w:jc w:val="left"/>
        <w:rPr>
          <w:rFonts w:ascii="仿宋_GB2312" w:hAnsi="仿宋" w:eastAsia="仿宋_GB2312" w:cs="仿宋_GB2312"/>
          <w:color w:val="000000" w:themeColor="text1"/>
          <w:szCs w:val="21"/>
        </w:rPr>
      </w:pPr>
    </w:p>
    <w:p w14:paraId="0BE369D3">
      <w:pPr>
        <w:spacing w:line="360" w:lineRule="auto"/>
        <w:jc w:val="left"/>
        <w:rPr>
          <w:rFonts w:ascii="仿宋_GB2312" w:hAnsi="仿宋" w:eastAsia="仿宋_GB2312" w:cs="仿宋_GB2312"/>
          <w:color w:val="000000" w:themeColor="text1"/>
          <w:szCs w:val="21"/>
        </w:rPr>
      </w:pPr>
    </w:p>
    <w:p w14:paraId="19F5F25C">
      <w:pPr>
        <w:spacing w:line="360" w:lineRule="auto"/>
        <w:jc w:val="left"/>
        <w:rPr>
          <w:rFonts w:ascii="仿宋_GB2312" w:hAnsi="仿宋" w:eastAsia="仿宋_GB2312" w:cs="仿宋_GB2312"/>
          <w:color w:val="000000" w:themeColor="text1"/>
          <w:szCs w:val="21"/>
        </w:rPr>
      </w:pPr>
    </w:p>
    <w:p w14:paraId="241EABBE">
      <w:pPr>
        <w:spacing w:line="360" w:lineRule="auto"/>
        <w:jc w:val="left"/>
        <w:rPr>
          <w:rFonts w:ascii="仿宋_GB2312" w:hAnsi="仿宋" w:eastAsia="仿宋_GB2312" w:cs="仿宋_GB2312"/>
          <w:color w:val="000000" w:themeColor="text1"/>
          <w:szCs w:val="21"/>
        </w:rPr>
      </w:pPr>
    </w:p>
    <w:p w14:paraId="34ED7895">
      <w:pPr>
        <w:spacing w:line="360" w:lineRule="auto"/>
        <w:jc w:val="left"/>
        <w:rPr>
          <w:rFonts w:ascii="仿宋_GB2312" w:hAnsi="仿宋" w:eastAsia="仿宋_GB2312" w:cs="仿宋_GB2312"/>
          <w:color w:val="000000" w:themeColor="text1"/>
          <w:szCs w:val="21"/>
        </w:rPr>
      </w:pPr>
    </w:p>
    <w:p w14:paraId="4BFD2CFD">
      <w:pPr>
        <w:spacing w:line="360" w:lineRule="auto"/>
        <w:jc w:val="left"/>
        <w:rPr>
          <w:rFonts w:ascii="仿宋_GB2312" w:hAnsi="仿宋" w:eastAsia="仿宋_GB2312" w:cs="仿宋_GB2312"/>
          <w:color w:val="000000" w:themeColor="text1"/>
          <w:szCs w:val="21"/>
        </w:rPr>
      </w:pPr>
    </w:p>
    <w:p w14:paraId="1EB15369">
      <w:pPr>
        <w:spacing w:line="360" w:lineRule="auto"/>
        <w:jc w:val="left"/>
        <w:rPr>
          <w:rFonts w:ascii="仿宋_GB2312" w:hAnsi="仿宋" w:eastAsia="仿宋_GB2312" w:cs="仿宋_GB2312"/>
          <w:color w:val="000000" w:themeColor="text1"/>
          <w:szCs w:val="21"/>
        </w:rPr>
      </w:pPr>
    </w:p>
    <w:p w14:paraId="7BD16E44">
      <w:pPr>
        <w:spacing w:line="360" w:lineRule="auto"/>
        <w:jc w:val="left"/>
        <w:rPr>
          <w:rFonts w:ascii="仿宋_GB2312" w:hAnsi="仿宋" w:eastAsia="仿宋_GB2312" w:cs="仿宋_GB2312"/>
          <w:color w:val="000000" w:themeColor="text1"/>
          <w:szCs w:val="21"/>
        </w:rPr>
      </w:pPr>
    </w:p>
    <w:p w14:paraId="3BB566FF">
      <w:pPr>
        <w:spacing w:line="360" w:lineRule="auto"/>
        <w:jc w:val="left"/>
        <w:rPr>
          <w:rFonts w:ascii="仿宋_GB2312" w:hAnsi="仿宋" w:eastAsia="仿宋_GB2312" w:cs="仿宋_GB2312"/>
          <w:color w:val="000000" w:themeColor="text1"/>
          <w:szCs w:val="21"/>
        </w:rPr>
      </w:pPr>
    </w:p>
    <w:p w14:paraId="6E72968C">
      <w:pPr>
        <w:spacing w:line="360" w:lineRule="auto"/>
        <w:jc w:val="left"/>
        <w:rPr>
          <w:rFonts w:ascii="仿宋_GB2312" w:hAnsi="仿宋" w:eastAsia="仿宋_GB2312" w:cs="仿宋_GB2312"/>
          <w:color w:val="000000" w:themeColor="text1"/>
          <w:szCs w:val="21"/>
        </w:rPr>
      </w:pPr>
    </w:p>
    <w:p w14:paraId="3386B7D7">
      <w:pPr>
        <w:spacing w:line="360" w:lineRule="auto"/>
        <w:jc w:val="left"/>
        <w:rPr>
          <w:rFonts w:ascii="仿宋_GB2312" w:hAnsi="仿宋" w:eastAsia="仿宋_GB2312" w:cs="仿宋_GB2312"/>
          <w:color w:val="000000" w:themeColor="text1"/>
          <w:szCs w:val="21"/>
        </w:rPr>
      </w:pPr>
    </w:p>
    <w:p w14:paraId="29568D5A">
      <w:pPr>
        <w:spacing w:line="360" w:lineRule="auto"/>
        <w:jc w:val="left"/>
        <w:rPr>
          <w:rFonts w:ascii="仿宋_GB2312" w:hAnsi="仿宋" w:eastAsia="仿宋_GB2312" w:cs="仿宋_GB2312"/>
          <w:color w:val="000000" w:themeColor="text1"/>
          <w:szCs w:val="21"/>
        </w:rPr>
      </w:pPr>
    </w:p>
    <w:p w14:paraId="1F09B9DB">
      <w:pPr>
        <w:spacing w:line="360" w:lineRule="auto"/>
        <w:jc w:val="left"/>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供应商名称（加盖单位公章）：</w:t>
      </w:r>
    </w:p>
    <w:p w14:paraId="2D12BD05">
      <w:pPr>
        <w:spacing w:line="360" w:lineRule="auto"/>
        <w:jc w:val="left"/>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 xml:space="preserve">法定代表人（或非法人组织负责人）或其授权委托人(签字或盖章)： </w:t>
      </w:r>
    </w:p>
    <w:p w14:paraId="1EB8A364">
      <w:pPr>
        <w:spacing w:line="360" w:lineRule="auto"/>
        <w:jc w:val="left"/>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 xml:space="preserve">日期： </w:t>
      </w:r>
    </w:p>
    <w:p w14:paraId="6C5C73E0">
      <w:pPr>
        <w:spacing w:line="360" w:lineRule="auto"/>
        <w:jc w:val="left"/>
        <w:rPr>
          <w:rFonts w:ascii="仿宋_GB2312" w:hAnsi="仿宋" w:eastAsia="仿宋_GB2312" w:cs="仿宋_GB2312"/>
          <w:color w:val="000000" w:themeColor="text1"/>
          <w:szCs w:val="21"/>
        </w:rPr>
      </w:pPr>
    </w:p>
    <w:p w14:paraId="62487B98">
      <w:pPr>
        <w:spacing w:line="360" w:lineRule="auto"/>
        <w:jc w:val="left"/>
        <w:rPr>
          <w:rFonts w:ascii="仿宋_GB2312" w:hAnsi="仿宋" w:eastAsia="仿宋_GB2312" w:cs="仿宋_GB2312"/>
          <w:color w:val="000000" w:themeColor="text1"/>
          <w:szCs w:val="21"/>
        </w:rPr>
      </w:pPr>
    </w:p>
    <w:p w14:paraId="52CB48FE">
      <w:pPr>
        <w:spacing w:line="360" w:lineRule="auto"/>
        <w:jc w:val="left"/>
        <w:rPr>
          <w:rFonts w:ascii="仿宋_GB2312" w:hAnsi="仿宋" w:eastAsia="仿宋_GB2312" w:cs="仿宋_GB2312"/>
          <w:color w:val="000000" w:themeColor="text1"/>
          <w:szCs w:val="21"/>
        </w:rPr>
      </w:pPr>
    </w:p>
    <w:p w14:paraId="40FCCB58">
      <w:pPr>
        <w:spacing w:line="360" w:lineRule="auto"/>
        <w:jc w:val="left"/>
        <w:rPr>
          <w:rFonts w:ascii="仿宋_GB2312" w:hAnsi="仿宋" w:eastAsia="仿宋_GB2312" w:cs="仿宋_GB2312"/>
          <w:color w:val="000000" w:themeColor="text1"/>
          <w:szCs w:val="21"/>
        </w:rPr>
      </w:pPr>
    </w:p>
    <w:p w14:paraId="41A55F6E">
      <w:pPr>
        <w:spacing w:line="360" w:lineRule="auto"/>
        <w:jc w:val="left"/>
        <w:rPr>
          <w:rFonts w:ascii="仿宋_GB2312" w:hAnsi="仿宋" w:eastAsia="仿宋_GB2312" w:cs="仿宋_GB2312"/>
          <w:color w:val="000000" w:themeColor="text1"/>
          <w:szCs w:val="21"/>
        </w:rPr>
      </w:pPr>
    </w:p>
    <w:p w14:paraId="2F3628DA">
      <w:pPr>
        <w:spacing w:line="360" w:lineRule="auto"/>
        <w:jc w:val="left"/>
        <w:rPr>
          <w:rFonts w:ascii="仿宋_GB2312" w:hAnsi="仿宋" w:eastAsia="仿宋_GB2312" w:cs="仿宋_GB2312"/>
          <w:color w:val="000000" w:themeColor="text1"/>
          <w:szCs w:val="21"/>
        </w:rPr>
      </w:pPr>
    </w:p>
    <w:p w14:paraId="49B7146D">
      <w:pPr>
        <w:spacing w:line="360" w:lineRule="auto"/>
        <w:jc w:val="left"/>
        <w:rPr>
          <w:rFonts w:ascii="仿宋_GB2312" w:hAnsi="仿宋" w:eastAsia="仿宋_GB2312" w:cs="仿宋_GB2312"/>
          <w:b/>
          <w:color w:val="000000" w:themeColor="text1"/>
          <w:sz w:val="28"/>
          <w:szCs w:val="28"/>
        </w:rPr>
      </w:pPr>
    </w:p>
    <w:p w14:paraId="3E80BDF1">
      <w:pPr>
        <w:spacing w:line="360" w:lineRule="auto"/>
        <w:jc w:val="center"/>
        <w:rPr>
          <w:rFonts w:ascii="仿宋_GB2312" w:hAnsi="仿宋" w:eastAsia="仿宋_GB2312"/>
          <w:color w:val="000000" w:themeColor="text1"/>
          <w:szCs w:val="21"/>
        </w:rPr>
      </w:pPr>
      <w:r>
        <w:rPr>
          <w:rFonts w:hint="eastAsia" w:ascii="仿宋_GB2312" w:hAnsi="仿宋" w:eastAsia="仿宋_GB2312"/>
          <w:b/>
          <w:color w:val="000000" w:themeColor="text1"/>
          <w:sz w:val="28"/>
          <w:szCs w:val="28"/>
        </w:rPr>
        <w:t>其他评审项所需内容</w:t>
      </w:r>
      <w:r>
        <w:rPr>
          <w:rFonts w:hint="eastAsia" w:ascii="仿宋_GB2312" w:hAnsi="仿宋" w:eastAsia="仿宋_GB2312"/>
          <w:color w:val="000000" w:themeColor="text1"/>
          <w:szCs w:val="21"/>
        </w:rPr>
        <w:t>（未给出格式的）</w:t>
      </w:r>
    </w:p>
    <w:p w14:paraId="53E7C82A">
      <w:pPr>
        <w:spacing w:line="360" w:lineRule="auto"/>
        <w:jc w:val="left"/>
        <w:rPr>
          <w:rFonts w:ascii="仿宋_GB2312" w:hAnsi="仿宋" w:eastAsia="仿宋_GB2312" w:cs="仿宋_GB2312"/>
          <w:color w:val="000000" w:themeColor="text1"/>
          <w:szCs w:val="21"/>
        </w:rPr>
      </w:pPr>
    </w:p>
    <w:p w14:paraId="1CB877D2">
      <w:pPr>
        <w:spacing w:line="360" w:lineRule="auto"/>
        <w:jc w:val="left"/>
        <w:rPr>
          <w:rFonts w:ascii="仿宋_GB2312" w:hAnsi="仿宋" w:eastAsia="仿宋_GB2312" w:cs="仿宋_GB2312"/>
          <w:color w:val="000000" w:themeColor="text1"/>
          <w:szCs w:val="21"/>
        </w:rPr>
      </w:pPr>
    </w:p>
    <w:p w14:paraId="442AD554">
      <w:pPr>
        <w:spacing w:line="360" w:lineRule="auto"/>
        <w:jc w:val="left"/>
        <w:rPr>
          <w:rFonts w:ascii="仿宋_GB2312" w:hAnsi="仿宋" w:eastAsia="仿宋_GB2312" w:cs="仿宋_GB2312"/>
          <w:color w:val="000000" w:themeColor="text1"/>
          <w:szCs w:val="21"/>
        </w:rPr>
      </w:pPr>
    </w:p>
    <w:p w14:paraId="67ABA379">
      <w:pPr>
        <w:spacing w:line="360" w:lineRule="auto"/>
        <w:jc w:val="left"/>
        <w:rPr>
          <w:rFonts w:ascii="仿宋_GB2312" w:hAnsi="仿宋" w:eastAsia="仿宋_GB2312" w:cs="仿宋_GB2312"/>
          <w:color w:val="000000" w:themeColor="text1"/>
          <w:szCs w:val="21"/>
        </w:rPr>
      </w:pPr>
    </w:p>
    <w:p w14:paraId="3A31D181">
      <w:pPr>
        <w:spacing w:line="360" w:lineRule="auto"/>
        <w:jc w:val="left"/>
        <w:rPr>
          <w:rFonts w:ascii="仿宋_GB2312" w:hAnsi="仿宋" w:eastAsia="仿宋_GB2312" w:cs="仿宋_GB2312"/>
          <w:color w:val="000000" w:themeColor="text1"/>
          <w:szCs w:val="21"/>
        </w:rPr>
      </w:pPr>
    </w:p>
    <w:p w14:paraId="694B1B3A">
      <w:pPr>
        <w:spacing w:line="360" w:lineRule="auto"/>
        <w:jc w:val="left"/>
        <w:rPr>
          <w:rFonts w:ascii="仿宋_GB2312" w:hAnsi="仿宋" w:eastAsia="仿宋_GB2312" w:cs="仿宋_GB2312"/>
          <w:color w:val="000000" w:themeColor="text1"/>
          <w:szCs w:val="21"/>
        </w:rPr>
      </w:pPr>
    </w:p>
    <w:p w14:paraId="12E8E445">
      <w:pPr>
        <w:spacing w:line="360" w:lineRule="auto"/>
        <w:jc w:val="left"/>
        <w:rPr>
          <w:rFonts w:ascii="仿宋_GB2312" w:hAnsi="仿宋" w:eastAsia="仿宋_GB2312" w:cs="仿宋_GB2312"/>
          <w:color w:val="000000" w:themeColor="text1"/>
          <w:szCs w:val="21"/>
        </w:rPr>
      </w:pPr>
    </w:p>
    <w:p w14:paraId="0CD37CE0">
      <w:pPr>
        <w:spacing w:line="360" w:lineRule="auto"/>
        <w:jc w:val="left"/>
        <w:rPr>
          <w:rFonts w:ascii="仿宋_GB2312" w:hAnsi="仿宋" w:eastAsia="仿宋_GB2312" w:cs="仿宋_GB2312"/>
          <w:color w:val="000000" w:themeColor="text1"/>
          <w:szCs w:val="21"/>
        </w:rPr>
      </w:pPr>
    </w:p>
    <w:p w14:paraId="0E9344EE">
      <w:pPr>
        <w:spacing w:line="360" w:lineRule="auto"/>
        <w:jc w:val="left"/>
        <w:rPr>
          <w:rFonts w:ascii="仿宋_GB2312" w:hAnsi="仿宋" w:eastAsia="仿宋_GB2312" w:cs="仿宋_GB2312"/>
          <w:color w:val="000000" w:themeColor="text1"/>
          <w:szCs w:val="21"/>
        </w:rPr>
      </w:pPr>
    </w:p>
    <w:p w14:paraId="47AD2A52">
      <w:pPr>
        <w:spacing w:line="360" w:lineRule="auto"/>
        <w:jc w:val="left"/>
        <w:rPr>
          <w:rFonts w:ascii="仿宋_GB2312" w:hAnsi="仿宋" w:eastAsia="仿宋_GB2312" w:cs="仿宋_GB2312"/>
          <w:color w:val="000000" w:themeColor="text1"/>
          <w:szCs w:val="21"/>
        </w:rPr>
      </w:pPr>
    </w:p>
    <w:p w14:paraId="6ACB4B25">
      <w:pPr>
        <w:spacing w:line="360" w:lineRule="auto"/>
        <w:jc w:val="left"/>
        <w:rPr>
          <w:rFonts w:ascii="仿宋_GB2312" w:hAnsi="仿宋" w:eastAsia="仿宋_GB2312" w:cs="仿宋_GB2312"/>
          <w:color w:val="000000" w:themeColor="text1"/>
          <w:szCs w:val="21"/>
        </w:rPr>
      </w:pPr>
    </w:p>
    <w:p w14:paraId="67DCA47C">
      <w:pPr>
        <w:spacing w:line="360" w:lineRule="auto"/>
        <w:jc w:val="left"/>
        <w:rPr>
          <w:rFonts w:ascii="仿宋_GB2312" w:hAnsi="仿宋" w:eastAsia="仿宋_GB2312" w:cs="仿宋_GB2312"/>
          <w:color w:val="000000" w:themeColor="text1"/>
          <w:szCs w:val="21"/>
        </w:rPr>
      </w:pPr>
    </w:p>
    <w:p w14:paraId="63909D11">
      <w:pPr>
        <w:spacing w:line="360" w:lineRule="auto"/>
        <w:jc w:val="left"/>
        <w:rPr>
          <w:rFonts w:ascii="仿宋_GB2312" w:hAnsi="仿宋" w:eastAsia="仿宋_GB2312" w:cs="仿宋_GB2312"/>
          <w:color w:val="000000" w:themeColor="text1"/>
          <w:szCs w:val="21"/>
        </w:rPr>
      </w:pPr>
    </w:p>
    <w:p w14:paraId="5737CBE6">
      <w:pPr>
        <w:spacing w:line="360" w:lineRule="auto"/>
        <w:jc w:val="left"/>
        <w:rPr>
          <w:rFonts w:ascii="仿宋_GB2312" w:hAnsi="仿宋" w:eastAsia="仿宋_GB2312" w:cs="仿宋_GB2312"/>
          <w:color w:val="000000" w:themeColor="text1"/>
          <w:szCs w:val="21"/>
        </w:rPr>
      </w:pPr>
    </w:p>
    <w:p w14:paraId="36D22C6A">
      <w:pPr>
        <w:spacing w:line="360" w:lineRule="auto"/>
        <w:jc w:val="left"/>
        <w:rPr>
          <w:rFonts w:ascii="仿宋_GB2312" w:hAnsi="仿宋" w:eastAsia="仿宋_GB2312" w:cs="仿宋_GB2312"/>
          <w:color w:val="000000" w:themeColor="text1"/>
          <w:szCs w:val="21"/>
        </w:rPr>
      </w:pPr>
    </w:p>
    <w:p w14:paraId="1DD6A7B1">
      <w:pPr>
        <w:spacing w:line="360" w:lineRule="auto"/>
        <w:jc w:val="left"/>
        <w:rPr>
          <w:rFonts w:ascii="仿宋_GB2312" w:hAnsi="仿宋" w:eastAsia="仿宋_GB2312" w:cs="仿宋_GB2312"/>
          <w:color w:val="000000" w:themeColor="text1"/>
          <w:szCs w:val="21"/>
        </w:rPr>
      </w:pPr>
    </w:p>
    <w:p w14:paraId="36717AF0">
      <w:pPr>
        <w:spacing w:line="360" w:lineRule="auto"/>
        <w:jc w:val="left"/>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供应商名称（加盖单位公章）：</w:t>
      </w:r>
    </w:p>
    <w:p w14:paraId="09CEC9D2">
      <w:pPr>
        <w:spacing w:line="360" w:lineRule="auto"/>
        <w:jc w:val="left"/>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 xml:space="preserve">法定代表人（或非法人组织负责人）或其授权委托人(签字或盖章)： </w:t>
      </w:r>
    </w:p>
    <w:p w14:paraId="0D632D4E">
      <w:pPr>
        <w:spacing w:line="360" w:lineRule="auto"/>
        <w:jc w:val="left"/>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 xml:space="preserve">日期： </w:t>
      </w:r>
    </w:p>
    <w:p w14:paraId="09B5EBB0">
      <w:pPr>
        <w:spacing w:line="360" w:lineRule="auto"/>
        <w:jc w:val="left"/>
        <w:rPr>
          <w:rFonts w:ascii="仿宋_GB2312" w:hAnsi="仿宋" w:eastAsia="仿宋_GB2312" w:cs="仿宋_GB2312"/>
          <w:color w:val="000000" w:themeColor="text1"/>
          <w:szCs w:val="21"/>
        </w:rPr>
      </w:pPr>
    </w:p>
    <w:p w14:paraId="2830AEA7">
      <w:pPr>
        <w:spacing w:line="360" w:lineRule="auto"/>
        <w:jc w:val="left"/>
        <w:rPr>
          <w:rFonts w:ascii="仿宋_GB2312" w:hAnsi="仿宋" w:eastAsia="仿宋_GB2312" w:cs="仿宋_GB2312"/>
          <w:color w:val="000000" w:themeColor="text1"/>
          <w:szCs w:val="21"/>
        </w:rPr>
      </w:pPr>
    </w:p>
    <w:p w14:paraId="626A375D">
      <w:pPr>
        <w:spacing w:line="360" w:lineRule="auto"/>
        <w:jc w:val="left"/>
        <w:rPr>
          <w:rFonts w:ascii="仿宋_GB2312" w:hAnsi="仿宋" w:eastAsia="仿宋_GB2312" w:cs="仿宋_GB2312"/>
          <w:color w:val="000000" w:themeColor="text1"/>
          <w:szCs w:val="21"/>
        </w:rPr>
      </w:pPr>
    </w:p>
    <w:p w14:paraId="57A5687F">
      <w:pPr>
        <w:spacing w:line="360" w:lineRule="auto"/>
        <w:jc w:val="left"/>
        <w:rPr>
          <w:rFonts w:ascii="仿宋_GB2312" w:hAnsi="仿宋" w:eastAsia="仿宋_GB2312" w:cs="仿宋_GB2312"/>
          <w:color w:val="000000" w:themeColor="text1"/>
          <w:szCs w:val="21"/>
        </w:rPr>
      </w:pPr>
    </w:p>
    <w:p w14:paraId="598ADCF1">
      <w:pPr>
        <w:spacing w:line="360" w:lineRule="auto"/>
        <w:jc w:val="left"/>
        <w:rPr>
          <w:rFonts w:ascii="仿宋_GB2312" w:hAnsi="仿宋" w:eastAsia="仿宋_GB2312" w:cs="仿宋_GB2312"/>
          <w:color w:val="000000" w:themeColor="text1"/>
          <w:szCs w:val="21"/>
        </w:rPr>
      </w:pPr>
    </w:p>
    <w:p w14:paraId="123D40F1">
      <w:pPr>
        <w:spacing w:line="360" w:lineRule="auto"/>
        <w:jc w:val="left"/>
        <w:rPr>
          <w:rFonts w:ascii="仿宋_GB2312" w:hAnsi="仿宋" w:eastAsia="仿宋_GB2312" w:cs="仿宋_GB2312"/>
          <w:color w:val="000000" w:themeColor="text1"/>
          <w:szCs w:val="21"/>
        </w:rPr>
      </w:pPr>
    </w:p>
    <w:p w14:paraId="4050EABB">
      <w:pPr>
        <w:spacing w:line="360" w:lineRule="auto"/>
        <w:jc w:val="left"/>
        <w:rPr>
          <w:rFonts w:ascii="仿宋_GB2312" w:hAnsi="仿宋" w:eastAsia="仿宋_GB2312" w:cs="仿宋_GB2312"/>
          <w:color w:val="000000" w:themeColor="text1"/>
          <w:szCs w:val="21"/>
        </w:rPr>
      </w:pPr>
    </w:p>
    <w:p w14:paraId="6DF36BF1">
      <w:pPr>
        <w:spacing w:line="360" w:lineRule="auto"/>
        <w:jc w:val="left"/>
        <w:rPr>
          <w:rFonts w:ascii="仿宋_GB2312" w:hAnsi="仿宋" w:eastAsia="仿宋_GB2312" w:cs="仿宋_GB2312"/>
          <w:color w:val="000000" w:themeColor="text1"/>
          <w:szCs w:val="21"/>
        </w:rPr>
      </w:pPr>
    </w:p>
    <w:p w14:paraId="13F164E4">
      <w:pPr>
        <w:spacing w:line="360" w:lineRule="auto"/>
        <w:jc w:val="left"/>
        <w:rPr>
          <w:rFonts w:ascii="仿宋_GB2312" w:hAnsi="仿宋" w:eastAsia="仿宋_GB2312" w:cs="仿宋_GB2312"/>
          <w:color w:val="000000" w:themeColor="text1"/>
          <w:szCs w:val="21"/>
        </w:rPr>
      </w:pPr>
    </w:p>
    <w:p w14:paraId="5523E046">
      <w:pPr>
        <w:spacing w:line="360" w:lineRule="auto"/>
        <w:jc w:val="center"/>
        <w:rPr>
          <w:rFonts w:ascii="仿宋_GB2312" w:hAnsi="仿宋" w:eastAsia="仿宋_GB2312" w:cs="仿宋_GB2312"/>
          <w:b/>
          <w:color w:val="000000" w:themeColor="text1"/>
          <w:sz w:val="28"/>
          <w:szCs w:val="28"/>
        </w:rPr>
      </w:pPr>
      <w:r>
        <w:rPr>
          <w:rFonts w:hint="eastAsia" w:ascii="仿宋_GB2312" w:hAnsi="仿宋" w:eastAsia="仿宋_GB2312" w:cs="仿宋_GB2312"/>
          <w:b/>
          <w:color w:val="000000" w:themeColor="text1"/>
          <w:sz w:val="28"/>
          <w:szCs w:val="28"/>
        </w:rPr>
        <w:t>响应报价表</w:t>
      </w:r>
    </w:p>
    <w:p w14:paraId="7769036B">
      <w:pPr>
        <w:widowControl/>
        <w:spacing w:after="120" w:line="360" w:lineRule="auto"/>
        <w:jc w:val="left"/>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采购项目名称：本溪市校园自有食堂餐饮服务管理</w:t>
      </w:r>
    </w:p>
    <w:p w14:paraId="528556A8">
      <w:pPr>
        <w:widowControl/>
        <w:spacing w:line="360" w:lineRule="auto"/>
        <w:jc w:val="left"/>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采购项目编号：</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70D831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20" w:type="dxa"/>
          </w:tcPr>
          <w:p w14:paraId="011D6E87">
            <w:pPr>
              <w:spacing w:line="360" w:lineRule="auto"/>
              <w:jc w:val="left"/>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序号</w:t>
            </w:r>
          </w:p>
        </w:tc>
        <w:tc>
          <w:tcPr>
            <w:tcW w:w="1420" w:type="dxa"/>
          </w:tcPr>
          <w:p w14:paraId="3370A744">
            <w:pPr>
              <w:spacing w:line="360" w:lineRule="auto"/>
              <w:jc w:val="left"/>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报价内容</w:t>
            </w:r>
          </w:p>
        </w:tc>
        <w:tc>
          <w:tcPr>
            <w:tcW w:w="1420" w:type="dxa"/>
          </w:tcPr>
          <w:p w14:paraId="4CB60356">
            <w:pPr>
              <w:spacing w:line="360" w:lineRule="auto"/>
              <w:jc w:val="left"/>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计量单位</w:t>
            </w:r>
          </w:p>
        </w:tc>
        <w:tc>
          <w:tcPr>
            <w:tcW w:w="1420" w:type="dxa"/>
          </w:tcPr>
          <w:p w14:paraId="436CE8C4">
            <w:pPr>
              <w:spacing w:line="360" w:lineRule="auto"/>
              <w:jc w:val="left"/>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固定价格</w:t>
            </w:r>
          </w:p>
        </w:tc>
        <w:tc>
          <w:tcPr>
            <w:tcW w:w="1421" w:type="dxa"/>
          </w:tcPr>
          <w:p w14:paraId="21A9CFB3">
            <w:pPr>
              <w:spacing w:line="360" w:lineRule="auto"/>
              <w:jc w:val="left"/>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响应报价</w:t>
            </w:r>
          </w:p>
        </w:tc>
        <w:tc>
          <w:tcPr>
            <w:tcW w:w="1421" w:type="dxa"/>
          </w:tcPr>
          <w:p w14:paraId="02E578C7">
            <w:pPr>
              <w:spacing w:line="360" w:lineRule="auto"/>
              <w:jc w:val="left"/>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报价形式</w:t>
            </w:r>
          </w:p>
        </w:tc>
      </w:tr>
      <w:tr w14:paraId="59864B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20" w:type="dxa"/>
          </w:tcPr>
          <w:p w14:paraId="630C4795">
            <w:pPr>
              <w:spacing w:line="360" w:lineRule="auto"/>
              <w:jc w:val="left"/>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1</w:t>
            </w:r>
          </w:p>
        </w:tc>
        <w:tc>
          <w:tcPr>
            <w:tcW w:w="1420" w:type="dxa"/>
          </w:tcPr>
          <w:p w14:paraId="651D8030">
            <w:pPr>
              <w:spacing w:line="360" w:lineRule="auto"/>
              <w:jc w:val="left"/>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本溪市校园自有食堂餐饮服务管理</w:t>
            </w:r>
          </w:p>
        </w:tc>
        <w:tc>
          <w:tcPr>
            <w:tcW w:w="1420" w:type="dxa"/>
          </w:tcPr>
          <w:p w14:paraId="145EF3BF">
            <w:pPr>
              <w:spacing w:line="360" w:lineRule="auto"/>
              <w:jc w:val="left"/>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项</w:t>
            </w:r>
          </w:p>
        </w:tc>
        <w:tc>
          <w:tcPr>
            <w:tcW w:w="1420" w:type="dxa"/>
          </w:tcPr>
          <w:p w14:paraId="50315D96">
            <w:pPr>
              <w:spacing w:line="360" w:lineRule="auto"/>
              <w:jc w:val="left"/>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29%</w:t>
            </w:r>
          </w:p>
        </w:tc>
        <w:tc>
          <w:tcPr>
            <w:tcW w:w="1421" w:type="dxa"/>
          </w:tcPr>
          <w:p w14:paraId="629C1CB6">
            <w:pPr>
              <w:spacing w:line="360" w:lineRule="auto"/>
              <w:jc w:val="left"/>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29%</w:t>
            </w:r>
          </w:p>
        </w:tc>
        <w:tc>
          <w:tcPr>
            <w:tcW w:w="1421" w:type="dxa"/>
          </w:tcPr>
          <w:p w14:paraId="572F9096">
            <w:pPr>
              <w:spacing w:line="360" w:lineRule="auto"/>
              <w:jc w:val="left"/>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折扣</w:t>
            </w:r>
          </w:p>
        </w:tc>
      </w:tr>
      <w:tr w14:paraId="53BD09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gridSpan w:val="6"/>
          </w:tcPr>
          <w:p w14:paraId="61D6A656">
            <w:pPr>
              <w:spacing w:line="360" w:lineRule="auto"/>
              <w:jc w:val="left"/>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备注：无</w:t>
            </w:r>
          </w:p>
        </w:tc>
      </w:tr>
    </w:tbl>
    <w:p w14:paraId="05960730">
      <w:pPr>
        <w:spacing w:line="360" w:lineRule="auto"/>
        <w:jc w:val="left"/>
        <w:rPr>
          <w:rFonts w:ascii="仿宋_GB2312" w:hAnsi="仿宋" w:eastAsia="仿宋_GB2312" w:cs="仿宋_GB2312"/>
          <w:color w:val="000000" w:themeColor="text1"/>
          <w:szCs w:val="21"/>
        </w:rPr>
      </w:pPr>
    </w:p>
    <w:p w14:paraId="3E4EA975">
      <w:pPr>
        <w:spacing w:line="360" w:lineRule="auto"/>
        <w:jc w:val="left"/>
        <w:rPr>
          <w:rFonts w:ascii="仿宋_GB2312" w:hAnsi="仿宋" w:eastAsia="仿宋_GB2312" w:cs="仿宋_GB2312"/>
          <w:color w:val="000000" w:themeColor="text1"/>
          <w:szCs w:val="21"/>
        </w:rPr>
      </w:pPr>
    </w:p>
    <w:p w14:paraId="43FF27DA">
      <w:pPr>
        <w:spacing w:line="360" w:lineRule="auto"/>
        <w:jc w:val="left"/>
        <w:rPr>
          <w:rFonts w:ascii="仿宋_GB2312" w:hAnsi="仿宋" w:eastAsia="仿宋_GB2312" w:cs="仿宋_GB2312"/>
          <w:color w:val="000000" w:themeColor="text1"/>
          <w:szCs w:val="21"/>
        </w:rPr>
      </w:pPr>
    </w:p>
    <w:p w14:paraId="183B00BE">
      <w:pPr>
        <w:spacing w:line="360" w:lineRule="auto"/>
        <w:jc w:val="left"/>
        <w:rPr>
          <w:rFonts w:ascii="仿宋_GB2312" w:hAnsi="仿宋" w:eastAsia="仿宋_GB2312" w:cs="仿宋_GB2312"/>
          <w:color w:val="000000" w:themeColor="text1"/>
          <w:szCs w:val="21"/>
        </w:rPr>
      </w:pPr>
    </w:p>
    <w:p w14:paraId="7F70F350">
      <w:pPr>
        <w:spacing w:line="360" w:lineRule="auto"/>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供应商名称（加盖单位公章）：</w:t>
      </w:r>
    </w:p>
    <w:p w14:paraId="7470C5C1">
      <w:pPr>
        <w:spacing w:line="360" w:lineRule="auto"/>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 xml:space="preserve">法定代表人（或非法人组织负责人）或其授权委托人(签字或盖章)： </w:t>
      </w:r>
    </w:p>
    <w:p w14:paraId="12B35403">
      <w:pPr>
        <w:spacing w:line="360" w:lineRule="auto"/>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 xml:space="preserve">日期： </w:t>
      </w:r>
    </w:p>
    <w:p w14:paraId="4217F1D0">
      <w:pPr>
        <w:spacing w:line="360" w:lineRule="auto"/>
        <w:jc w:val="left"/>
        <w:rPr>
          <w:rFonts w:ascii="仿宋_GB2312" w:hAnsi="仿宋" w:eastAsia="仿宋_GB2312" w:cs="仿宋_GB2312"/>
          <w:color w:val="000000" w:themeColor="text1"/>
          <w:szCs w:val="21"/>
        </w:rPr>
      </w:pPr>
    </w:p>
    <w:p w14:paraId="268DE81C">
      <w:pPr>
        <w:spacing w:line="360" w:lineRule="auto"/>
        <w:jc w:val="left"/>
        <w:rPr>
          <w:rFonts w:ascii="仿宋_GB2312" w:hAnsi="仿宋" w:eastAsia="仿宋_GB2312" w:cs="仿宋_GB2312"/>
          <w:color w:val="000000" w:themeColor="text1"/>
          <w:szCs w:val="21"/>
        </w:rPr>
      </w:pPr>
    </w:p>
    <w:p w14:paraId="6892FBD5">
      <w:pPr>
        <w:spacing w:line="360" w:lineRule="auto"/>
        <w:jc w:val="left"/>
        <w:rPr>
          <w:rFonts w:ascii="仿宋_GB2312" w:hAnsi="仿宋" w:eastAsia="仿宋_GB2312" w:cs="仿宋_GB2312"/>
          <w:color w:val="000000" w:themeColor="text1"/>
          <w:szCs w:val="21"/>
        </w:rPr>
      </w:pPr>
    </w:p>
    <w:p w14:paraId="13F79036">
      <w:pPr>
        <w:spacing w:line="360" w:lineRule="auto"/>
        <w:jc w:val="left"/>
        <w:rPr>
          <w:rFonts w:ascii="仿宋_GB2312" w:hAnsi="仿宋" w:eastAsia="仿宋_GB2312" w:cs="仿宋_GB2312"/>
          <w:color w:val="000000" w:themeColor="text1"/>
          <w:szCs w:val="21"/>
        </w:rPr>
      </w:pPr>
    </w:p>
    <w:p w14:paraId="0E87A5AF">
      <w:pPr>
        <w:spacing w:line="360" w:lineRule="auto"/>
        <w:jc w:val="left"/>
        <w:rPr>
          <w:rFonts w:ascii="仿宋_GB2312" w:hAnsi="仿宋" w:eastAsia="仿宋_GB2312" w:cs="仿宋_GB2312"/>
          <w:color w:val="000000" w:themeColor="text1"/>
          <w:szCs w:val="21"/>
        </w:rPr>
      </w:pPr>
    </w:p>
    <w:p w14:paraId="33122CE4">
      <w:pPr>
        <w:spacing w:line="360" w:lineRule="auto"/>
        <w:jc w:val="left"/>
        <w:rPr>
          <w:rFonts w:ascii="仿宋_GB2312" w:hAnsi="仿宋" w:eastAsia="仿宋_GB2312" w:cs="仿宋_GB2312"/>
          <w:color w:val="000000" w:themeColor="text1"/>
          <w:szCs w:val="21"/>
        </w:rPr>
      </w:pPr>
    </w:p>
    <w:p w14:paraId="0C4010BC">
      <w:pPr>
        <w:spacing w:line="360" w:lineRule="auto"/>
        <w:jc w:val="left"/>
        <w:rPr>
          <w:rFonts w:ascii="仿宋_GB2312" w:hAnsi="仿宋" w:eastAsia="仿宋_GB2312" w:cs="仿宋_GB2312"/>
          <w:color w:val="000000" w:themeColor="text1"/>
          <w:szCs w:val="21"/>
        </w:rPr>
      </w:pPr>
    </w:p>
    <w:p w14:paraId="38AA289D">
      <w:pPr>
        <w:spacing w:line="360" w:lineRule="auto"/>
        <w:jc w:val="left"/>
        <w:rPr>
          <w:rFonts w:ascii="仿宋_GB2312" w:hAnsi="仿宋" w:eastAsia="仿宋_GB2312" w:cs="仿宋_GB2312"/>
          <w:color w:val="000000" w:themeColor="text1"/>
          <w:szCs w:val="21"/>
        </w:rPr>
      </w:pPr>
    </w:p>
    <w:p w14:paraId="0E2C95F7">
      <w:pPr>
        <w:spacing w:line="360" w:lineRule="auto"/>
        <w:jc w:val="left"/>
        <w:rPr>
          <w:rFonts w:ascii="仿宋_GB2312" w:hAnsi="仿宋" w:eastAsia="仿宋_GB2312" w:cs="仿宋_GB2312"/>
          <w:color w:val="000000" w:themeColor="text1"/>
          <w:szCs w:val="21"/>
        </w:rPr>
      </w:pPr>
    </w:p>
    <w:p w14:paraId="33238B73">
      <w:pPr>
        <w:spacing w:line="360" w:lineRule="auto"/>
        <w:jc w:val="left"/>
        <w:rPr>
          <w:rFonts w:ascii="仿宋_GB2312" w:hAnsi="仿宋" w:eastAsia="仿宋_GB2312" w:cs="仿宋_GB2312"/>
          <w:color w:val="000000" w:themeColor="text1"/>
          <w:szCs w:val="21"/>
        </w:rPr>
      </w:pPr>
    </w:p>
    <w:p w14:paraId="4419C74E">
      <w:pPr>
        <w:spacing w:line="360" w:lineRule="auto"/>
        <w:jc w:val="left"/>
        <w:rPr>
          <w:rFonts w:ascii="仿宋_GB2312" w:hAnsi="仿宋" w:eastAsia="仿宋_GB2312" w:cs="仿宋_GB2312"/>
          <w:color w:val="000000" w:themeColor="text1"/>
          <w:szCs w:val="21"/>
        </w:rPr>
      </w:pPr>
    </w:p>
    <w:p w14:paraId="778FD6C4">
      <w:pPr>
        <w:spacing w:line="360" w:lineRule="auto"/>
        <w:jc w:val="left"/>
        <w:rPr>
          <w:rFonts w:ascii="仿宋_GB2312" w:hAnsi="仿宋" w:eastAsia="仿宋_GB2312" w:cs="仿宋_GB2312"/>
          <w:color w:val="000000" w:themeColor="text1"/>
          <w:szCs w:val="21"/>
        </w:rPr>
      </w:pPr>
    </w:p>
    <w:p w14:paraId="0419B2D2">
      <w:pPr>
        <w:spacing w:line="360" w:lineRule="auto"/>
        <w:jc w:val="left"/>
        <w:rPr>
          <w:rFonts w:ascii="仿宋_GB2312" w:hAnsi="仿宋" w:eastAsia="仿宋_GB2312" w:cs="仿宋_GB2312"/>
          <w:color w:val="000000" w:themeColor="text1"/>
          <w:szCs w:val="21"/>
        </w:rPr>
      </w:pPr>
    </w:p>
    <w:p w14:paraId="613ED77B">
      <w:pPr>
        <w:spacing w:line="360" w:lineRule="auto"/>
        <w:jc w:val="left"/>
        <w:rPr>
          <w:rFonts w:ascii="仿宋_GB2312" w:hAnsi="仿宋" w:eastAsia="仿宋_GB2312" w:cs="仿宋_GB2312"/>
          <w:color w:val="000000" w:themeColor="text1"/>
          <w:szCs w:val="21"/>
        </w:rPr>
      </w:pPr>
      <w:r>
        <w:rPr>
          <w:rFonts w:ascii="仿宋_GB2312" w:hAnsi="仿宋" w:eastAsia="仿宋_GB2312" w:cs="仿宋_GB2312"/>
          <w:color w:val="000000" w:themeColor="text1"/>
          <w:szCs w:val="21"/>
        </w:rPr>
        <w:t xml:space="preserve"> </w:t>
      </w:r>
    </w:p>
    <w:p w14:paraId="1113954D">
      <w:pPr>
        <w:adjustRightInd w:val="0"/>
        <w:snapToGrid w:val="0"/>
        <w:spacing w:before="312" w:beforeLines="100" w:after="312" w:afterLines="100" w:line="360" w:lineRule="auto"/>
        <w:ind w:right="105" w:rightChars="50" w:firstLine="2530" w:firstLineChars="900"/>
        <w:rPr>
          <w:rFonts w:ascii="仿宋_GB2312" w:hAnsi="仿宋" w:eastAsia="仿宋_GB2312" w:cs="仿宋_GB2312"/>
          <w:b/>
          <w:bCs/>
          <w:color w:val="000000" w:themeColor="text1"/>
          <w:sz w:val="28"/>
          <w:szCs w:val="28"/>
        </w:rPr>
      </w:pPr>
      <w:r>
        <w:rPr>
          <w:rFonts w:hint="eastAsia" w:ascii="仿宋_GB2312" w:hAnsi="仿宋" w:eastAsia="仿宋_GB2312" w:cs="仿宋_GB2312"/>
          <w:b/>
          <w:bCs/>
          <w:color w:val="000000" w:themeColor="text1"/>
          <w:sz w:val="28"/>
          <w:szCs w:val="28"/>
        </w:rPr>
        <w:t>服务价格明细表</w:t>
      </w:r>
    </w:p>
    <w:p w14:paraId="697AA534">
      <w:pPr>
        <w:adjustRightInd w:val="0"/>
        <w:snapToGrid w:val="0"/>
        <w:spacing w:line="360" w:lineRule="auto"/>
        <w:ind w:right="105" w:rightChars="50" w:firstLine="422" w:firstLineChars="200"/>
        <w:jc w:val="left"/>
        <w:rPr>
          <w:rFonts w:ascii="仿宋_GB2312" w:hAnsi="仿宋" w:eastAsia="仿宋_GB2312" w:cs="仿宋_GB2312"/>
          <w:b/>
          <w:bCs/>
          <w:color w:val="000000" w:themeColor="text1"/>
          <w:szCs w:val="21"/>
        </w:rPr>
      </w:pPr>
      <w:r>
        <w:rPr>
          <w:rFonts w:hint="eastAsia" w:ascii="仿宋_GB2312" w:hAnsi="仿宋" w:eastAsia="仿宋_GB2312" w:cs="仿宋_GB2312"/>
          <w:b/>
          <w:bCs/>
          <w:color w:val="000000" w:themeColor="text1"/>
          <w:szCs w:val="21"/>
        </w:rPr>
        <w:t>包号：                                            报价单位：%</w:t>
      </w:r>
    </w:p>
    <w:tbl>
      <w:tblPr>
        <w:tblStyle w:val="9"/>
        <w:tblW w:w="7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495"/>
        <w:gridCol w:w="2811"/>
        <w:gridCol w:w="2142"/>
      </w:tblGrid>
      <w:tr w14:paraId="113D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noWrap/>
            <w:vAlign w:val="center"/>
          </w:tcPr>
          <w:p w14:paraId="46BA65F0">
            <w:pPr>
              <w:adjustRightInd w:val="0"/>
              <w:snapToGrid w:val="0"/>
              <w:spacing w:line="360" w:lineRule="auto"/>
              <w:ind w:left="-65" w:leftChars="-31" w:right="-46" w:rightChars="-22"/>
              <w:jc w:val="center"/>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序号</w:t>
            </w:r>
          </w:p>
        </w:tc>
        <w:tc>
          <w:tcPr>
            <w:tcW w:w="1495" w:type="dxa"/>
            <w:noWrap/>
            <w:vAlign w:val="center"/>
          </w:tcPr>
          <w:p w14:paraId="20E4D756">
            <w:pPr>
              <w:adjustRightInd w:val="0"/>
              <w:snapToGrid w:val="0"/>
              <w:spacing w:line="360" w:lineRule="auto"/>
              <w:ind w:left="-65" w:leftChars="-31" w:right="-46" w:rightChars="-22"/>
              <w:jc w:val="center"/>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服务名称</w:t>
            </w:r>
          </w:p>
        </w:tc>
        <w:tc>
          <w:tcPr>
            <w:tcW w:w="2811" w:type="dxa"/>
            <w:noWrap/>
            <w:vAlign w:val="center"/>
          </w:tcPr>
          <w:p w14:paraId="667E6B7A">
            <w:pPr>
              <w:adjustRightInd w:val="0"/>
              <w:snapToGrid w:val="0"/>
              <w:spacing w:line="360" w:lineRule="auto"/>
              <w:ind w:left="-65" w:leftChars="-31" w:right="-46" w:rightChars="-22"/>
              <w:jc w:val="center"/>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响应价格</w:t>
            </w:r>
          </w:p>
        </w:tc>
        <w:tc>
          <w:tcPr>
            <w:tcW w:w="2142" w:type="dxa"/>
            <w:noWrap/>
            <w:vAlign w:val="center"/>
          </w:tcPr>
          <w:p w14:paraId="1182B501">
            <w:pPr>
              <w:adjustRightInd w:val="0"/>
              <w:snapToGrid w:val="0"/>
              <w:spacing w:line="360" w:lineRule="auto"/>
              <w:ind w:left="-65" w:leftChars="-31" w:right="-46" w:rightChars="-22"/>
              <w:jc w:val="center"/>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备注</w:t>
            </w:r>
          </w:p>
        </w:tc>
      </w:tr>
      <w:tr w14:paraId="5C09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011" w:type="dxa"/>
            <w:noWrap/>
            <w:vAlign w:val="center"/>
          </w:tcPr>
          <w:p w14:paraId="21FA2851">
            <w:pPr>
              <w:adjustRightInd w:val="0"/>
              <w:snapToGrid w:val="0"/>
              <w:spacing w:line="360" w:lineRule="auto"/>
              <w:ind w:right="105" w:rightChars="50"/>
              <w:jc w:val="center"/>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1</w:t>
            </w:r>
          </w:p>
        </w:tc>
        <w:tc>
          <w:tcPr>
            <w:tcW w:w="1495" w:type="dxa"/>
            <w:noWrap/>
            <w:vAlign w:val="center"/>
          </w:tcPr>
          <w:p w14:paraId="06325F24">
            <w:pPr>
              <w:adjustRightInd w:val="0"/>
              <w:snapToGrid w:val="0"/>
              <w:spacing w:line="360" w:lineRule="auto"/>
              <w:ind w:right="105" w:rightChars="50"/>
              <w:jc w:val="center"/>
              <w:rPr>
                <w:rFonts w:ascii="仿宋_GB2312" w:hAnsi="仿宋" w:eastAsia="仿宋_GB2312" w:cs="仿宋_GB2312"/>
                <w:color w:val="000000" w:themeColor="text1"/>
                <w:szCs w:val="21"/>
              </w:rPr>
            </w:pPr>
          </w:p>
        </w:tc>
        <w:tc>
          <w:tcPr>
            <w:tcW w:w="2811" w:type="dxa"/>
            <w:noWrap/>
            <w:vAlign w:val="center"/>
          </w:tcPr>
          <w:p w14:paraId="5F212DC5">
            <w:pPr>
              <w:adjustRightInd w:val="0"/>
              <w:snapToGrid w:val="0"/>
              <w:spacing w:line="360" w:lineRule="auto"/>
              <w:ind w:right="105" w:rightChars="50"/>
              <w:jc w:val="center"/>
              <w:rPr>
                <w:rFonts w:ascii="仿宋_GB2312" w:hAnsi="仿宋" w:eastAsia="仿宋_GB2312" w:cs="仿宋_GB2312"/>
                <w:color w:val="000000" w:themeColor="text1"/>
                <w:szCs w:val="21"/>
              </w:rPr>
            </w:pPr>
          </w:p>
        </w:tc>
        <w:tc>
          <w:tcPr>
            <w:tcW w:w="2142" w:type="dxa"/>
            <w:noWrap/>
            <w:vAlign w:val="center"/>
          </w:tcPr>
          <w:p w14:paraId="0F635CF4">
            <w:pPr>
              <w:adjustRightInd w:val="0"/>
              <w:snapToGrid w:val="0"/>
              <w:spacing w:line="360" w:lineRule="auto"/>
              <w:ind w:right="105" w:rightChars="50"/>
              <w:jc w:val="center"/>
              <w:rPr>
                <w:rFonts w:ascii="仿宋_GB2312" w:hAnsi="仿宋" w:eastAsia="仿宋_GB2312" w:cs="仿宋_GB2312"/>
                <w:color w:val="000000" w:themeColor="text1"/>
                <w:szCs w:val="21"/>
              </w:rPr>
            </w:pPr>
          </w:p>
        </w:tc>
      </w:tr>
      <w:tr w14:paraId="0E71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noWrap/>
            <w:vAlign w:val="center"/>
          </w:tcPr>
          <w:p w14:paraId="22D14200">
            <w:pPr>
              <w:adjustRightInd w:val="0"/>
              <w:snapToGrid w:val="0"/>
              <w:spacing w:line="360" w:lineRule="auto"/>
              <w:ind w:right="105" w:rightChars="50"/>
              <w:jc w:val="center"/>
              <w:rPr>
                <w:rFonts w:ascii="仿宋_GB2312" w:hAnsi="仿宋" w:eastAsia="仿宋_GB2312" w:cs="仿宋_GB2312"/>
                <w:color w:val="000000" w:themeColor="text1"/>
                <w:szCs w:val="21"/>
              </w:rPr>
            </w:pPr>
          </w:p>
        </w:tc>
        <w:tc>
          <w:tcPr>
            <w:tcW w:w="1495" w:type="dxa"/>
            <w:noWrap/>
            <w:vAlign w:val="center"/>
          </w:tcPr>
          <w:p w14:paraId="551A6344">
            <w:pPr>
              <w:adjustRightInd w:val="0"/>
              <w:snapToGrid w:val="0"/>
              <w:spacing w:line="360" w:lineRule="auto"/>
              <w:ind w:right="105" w:rightChars="50"/>
              <w:jc w:val="center"/>
              <w:rPr>
                <w:rFonts w:ascii="仿宋_GB2312" w:hAnsi="仿宋" w:eastAsia="仿宋_GB2312" w:cs="仿宋_GB2312"/>
                <w:color w:val="000000" w:themeColor="text1"/>
                <w:szCs w:val="21"/>
              </w:rPr>
            </w:pPr>
          </w:p>
        </w:tc>
        <w:tc>
          <w:tcPr>
            <w:tcW w:w="2811" w:type="dxa"/>
            <w:noWrap/>
          </w:tcPr>
          <w:p w14:paraId="63B48461">
            <w:pPr>
              <w:adjustRightInd w:val="0"/>
              <w:snapToGrid w:val="0"/>
              <w:spacing w:line="360" w:lineRule="auto"/>
              <w:ind w:right="105" w:rightChars="50"/>
              <w:jc w:val="center"/>
              <w:rPr>
                <w:rFonts w:ascii="仿宋_GB2312" w:hAnsi="仿宋" w:eastAsia="仿宋_GB2312" w:cs="仿宋_GB2312"/>
                <w:color w:val="000000" w:themeColor="text1"/>
                <w:szCs w:val="21"/>
              </w:rPr>
            </w:pPr>
          </w:p>
        </w:tc>
        <w:tc>
          <w:tcPr>
            <w:tcW w:w="2142" w:type="dxa"/>
            <w:noWrap/>
            <w:vAlign w:val="center"/>
          </w:tcPr>
          <w:p w14:paraId="12720603">
            <w:pPr>
              <w:adjustRightInd w:val="0"/>
              <w:snapToGrid w:val="0"/>
              <w:spacing w:line="360" w:lineRule="auto"/>
              <w:ind w:right="105" w:rightChars="50"/>
              <w:jc w:val="center"/>
              <w:rPr>
                <w:rFonts w:ascii="仿宋_GB2312" w:hAnsi="仿宋" w:eastAsia="仿宋_GB2312" w:cs="仿宋_GB2312"/>
                <w:color w:val="000000" w:themeColor="text1"/>
                <w:szCs w:val="21"/>
              </w:rPr>
            </w:pPr>
          </w:p>
        </w:tc>
      </w:tr>
      <w:tr w14:paraId="4504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noWrap/>
            <w:vAlign w:val="center"/>
          </w:tcPr>
          <w:p w14:paraId="18F450B9">
            <w:pPr>
              <w:adjustRightInd w:val="0"/>
              <w:snapToGrid w:val="0"/>
              <w:spacing w:line="360" w:lineRule="auto"/>
              <w:ind w:right="105" w:rightChars="50"/>
              <w:jc w:val="center"/>
              <w:rPr>
                <w:rFonts w:ascii="仿宋_GB2312" w:hAnsi="仿宋" w:eastAsia="仿宋_GB2312" w:cs="仿宋_GB2312"/>
                <w:color w:val="000000" w:themeColor="text1"/>
                <w:szCs w:val="21"/>
              </w:rPr>
            </w:pPr>
          </w:p>
        </w:tc>
        <w:tc>
          <w:tcPr>
            <w:tcW w:w="1495" w:type="dxa"/>
            <w:noWrap/>
            <w:vAlign w:val="center"/>
          </w:tcPr>
          <w:p w14:paraId="2FC32A5C">
            <w:pPr>
              <w:adjustRightInd w:val="0"/>
              <w:snapToGrid w:val="0"/>
              <w:spacing w:line="360" w:lineRule="auto"/>
              <w:ind w:right="105" w:rightChars="50"/>
              <w:jc w:val="center"/>
              <w:rPr>
                <w:rFonts w:ascii="仿宋_GB2312" w:hAnsi="仿宋" w:eastAsia="仿宋_GB2312" w:cs="仿宋_GB2312"/>
                <w:color w:val="000000" w:themeColor="text1"/>
                <w:szCs w:val="21"/>
              </w:rPr>
            </w:pPr>
          </w:p>
        </w:tc>
        <w:tc>
          <w:tcPr>
            <w:tcW w:w="2811" w:type="dxa"/>
            <w:noWrap/>
          </w:tcPr>
          <w:p w14:paraId="0727BDE3">
            <w:pPr>
              <w:adjustRightInd w:val="0"/>
              <w:snapToGrid w:val="0"/>
              <w:spacing w:line="360" w:lineRule="auto"/>
              <w:ind w:right="105" w:rightChars="50"/>
              <w:jc w:val="center"/>
              <w:rPr>
                <w:rFonts w:ascii="仿宋_GB2312" w:hAnsi="仿宋" w:eastAsia="仿宋_GB2312" w:cs="仿宋_GB2312"/>
                <w:color w:val="000000" w:themeColor="text1"/>
                <w:szCs w:val="21"/>
              </w:rPr>
            </w:pPr>
          </w:p>
        </w:tc>
        <w:tc>
          <w:tcPr>
            <w:tcW w:w="2142" w:type="dxa"/>
            <w:noWrap/>
            <w:vAlign w:val="center"/>
          </w:tcPr>
          <w:p w14:paraId="19CC9600">
            <w:pPr>
              <w:adjustRightInd w:val="0"/>
              <w:snapToGrid w:val="0"/>
              <w:spacing w:line="360" w:lineRule="auto"/>
              <w:ind w:right="105" w:rightChars="50"/>
              <w:jc w:val="center"/>
              <w:rPr>
                <w:rFonts w:ascii="仿宋_GB2312" w:hAnsi="仿宋" w:eastAsia="仿宋_GB2312" w:cs="仿宋_GB2312"/>
                <w:color w:val="000000" w:themeColor="text1"/>
                <w:szCs w:val="21"/>
              </w:rPr>
            </w:pPr>
          </w:p>
        </w:tc>
      </w:tr>
      <w:tr w14:paraId="63B05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noWrap/>
            <w:vAlign w:val="center"/>
          </w:tcPr>
          <w:p w14:paraId="4F3DD3D0">
            <w:pPr>
              <w:adjustRightInd w:val="0"/>
              <w:snapToGrid w:val="0"/>
              <w:spacing w:line="360" w:lineRule="auto"/>
              <w:ind w:right="105" w:rightChars="50"/>
              <w:jc w:val="center"/>
              <w:rPr>
                <w:rFonts w:ascii="仿宋_GB2312" w:hAnsi="仿宋" w:eastAsia="仿宋_GB2312" w:cs="仿宋_GB2312"/>
                <w:color w:val="000000" w:themeColor="text1"/>
                <w:szCs w:val="21"/>
              </w:rPr>
            </w:pPr>
          </w:p>
        </w:tc>
        <w:tc>
          <w:tcPr>
            <w:tcW w:w="1495" w:type="dxa"/>
            <w:noWrap/>
            <w:vAlign w:val="center"/>
          </w:tcPr>
          <w:p w14:paraId="7A50B9AA">
            <w:pPr>
              <w:adjustRightInd w:val="0"/>
              <w:snapToGrid w:val="0"/>
              <w:spacing w:line="360" w:lineRule="auto"/>
              <w:ind w:right="105" w:rightChars="50"/>
              <w:jc w:val="center"/>
              <w:rPr>
                <w:rFonts w:ascii="仿宋_GB2312" w:hAnsi="仿宋" w:eastAsia="仿宋_GB2312" w:cs="仿宋_GB2312"/>
                <w:color w:val="000000" w:themeColor="text1"/>
                <w:szCs w:val="21"/>
              </w:rPr>
            </w:pPr>
          </w:p>
        </w:tc>
        <w:tc>
          <w:tcPr>
            <w:tcW w:w="2811" w:type="dxa"/>
            <w:noWrap/>
          </w:tcPr>
          <w:p w14:paraId="75F09EB0">
            <w:pPr>
              <w:adjustRightInd w:val="0"/>
              <w:snapToGrid w:val="0"/>
              <w:spacing w:line="360" w:lineRule="auto"/>
              <w:ind w:right="105" w:rightChars="50"/>
              <w:jc w:val="center"/>
              <w:rPr>
                <w:rFonts w:ascii="仿宋_GB2312" w:hAnsi="仿宋" w:eastAsia="仿宋_GB2312" w:cs="仿宋_GB2312"/>
                <w:color w:val="000000" w:themeColor="text1"/>
                <w:szCs w:val="21"/>
              </w:rPr>
            </w:pPr>
          </w:p>
        </w:tc>
        <w:tc>
          <w:tcPr>
            <w:tcW w:w="2142" w:type="dxa"/>
            <w:noWrap/>
            <w:vAlign w:val="center"/>
          </w:tcPr>
          <w:p w14:paraId="6493104D">
            <w:pPr>
              <w:adjustRightInd w:val="0"/>
              <w:snapToGrid w:val="0"/>
              <w:spacing w:line="360" w:lineRule="auto"/>
              <w:ind w:right="105" w:rightChars="50"/>
              <w:jc w:val="center"/>
              <w:rPr>
                <w:rFonts w:ascii="仿宋_GB2312" w:hAnsi="仿宋" w:eastAsia="仿宋_GB2312" w:cs="仿宋_GB2312"/>
                <w:color w:val="000000" w:themeColor="text1"/>
                <w:szCs w:val="21"/>
              </w:rPr>
            </w:pPr>
          </w:p>
        </w:tc>
      </w:tr>
      <w:tr w14:paraId="7903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noWrap/>
            <w:vAlign w:val="center"/>
          </w:tcPr>
          <w:p w14:paraId="1E8F5532">
            <w:pPr>
              <w:adjustRightInd w:val="0"/>
              <w:snapToGrid w:val="0"/>
              <w:spacing w:line="360" w:lineRule="auto"/>
              <w:ind w:right="105" w:rightChars="50"/>
              <w:jc w:val="center"/>
              <w:rPr>
                <w:rFonts w:ascii="仿宋_GB2312" w:hAnsi="仿宋" w:eastAsia="仿宋_GB2312" w:cs="仿宋_GB2312"/>
                <w:color w:val="000000" w:themeColor="text1"/>
                <w:szCs w:val="21"/>
              </w:rPr>
            </w:pPr>
          </w:p>
        </w:tc>
        <w:tc>
          <w:tcPr>
            <w:tcW w:w="1495" w:type="dxa"/>
            <w:noWrap/>
            <w:vAlign w:val="center"/>
          </w:tcPr>
          <w:p w14:paraId="2C8AF292">
            <w:pPr>
              <w:adjustRightInd w:val="0"/>
              <w:snapToGrid w:val="0"/>
              <w:spacing w:line="360" w:lineRule="auto"/>
              <w:ind w:right="105" w:rightChars="50"/>
              <w:jc w:val="center"/>
              <w:rPr>
                <w:rFonts w:ascii="仿宋_GB2312" w:hAnsi="仿宋" w:eastAsia="仿宋_GB2312" w:cs="仿宋_GB2312"/>
                <w:color w:val="000000" w:themeColor="text1"/>
                <w:szCs w:val="21"/>
              </w:rPr>
            </w:pPr>
          </w:p>
        </w:tc>
        <w:tc>
          <w:tcPr>
            <w:tcW w:w="2811" w:type="dxa"/>
            <w:noWrap/>
          </w:tcPr>
          <w:p w14:paraId="6F030633">
            <w:pPr>
              <w:adjustRightInd w:val="0"/>
              <w:snapToGrid w:val="0"/>
              <w:spacing w:line="360" w:lineRule="auto"/>
              <w:ind w:right="105" w:rightChars="50"/>
              <w:jc w:val="center"/>
              <w:rPr>
                <w:rFonts w:ascii="仿宋_GB2312" w:hAnsi="仿宋" w:eastAsia="仿宋_GB2312" w:cs="仿宋_GB2312"/>
                <w:color w:val="000000" w:themeColor="text1"/>
                <w:szCs w:val="21"/>
              </w:rPr>
            </w:pPr>
          </w:p>
        </w:tc>
        <w:tc>
          <w:tcPr>
            <w:tcW w:w="2142" w:type="dxa"/>
            <w:noWrap/>
            <w:vAlign w:val="center"/>
          </w:tcPr>
          <w:p w14:paraId="7E2637C0">
            <w:pPr>
              <w:adjustRightInd w:val="0"/>
              <w:snapToGrid w:val="0"/>
              <w:spacing w:line="360" w:lineRule="auto"/>
              <w:ind w:right="105" w:rightChars="50"/>
              <w:jc w:val="center"/>
              <w:rPr>
                <w:rFonts w:ascii="仿宋_GB2312" w:hAnsi="仿宋" w:eastAsia="仿宋_GB2312" w:cs="仿宋_GB2312"/>
                <w:color w:val="000000" w:themeColor="text1"/>
                <w:szCs w:val="21"/>
              </w:rPr>
            </w:pPr>
          </w:p>
        </w:tc>
      </w:tr>
      <w:tr w14:paraId="3332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noWrap/>
            <w:vAlign w:val="center"/>
          </w:tcPr>
          <w:p w14:paraId="02D0DDA1">
            <w:pPr>
              <w:adjustRightInd w:val="0"/>
              <w:snapToGrid w:val="0"/>
              <w:spacing w:line="360" w:lineRule="auto"/>
              <w:ind w:right="105" w:rightChars="50"/>
              <w:jc w:val="center"/>
              <w:rPr>
                <w:rFonts w:ascii="仿宋_GB2312" w:hAnsi="仿宋" w:eastAsia="仿宋_GB2312" w:cs="仿宋_GB2312"/>
                <w:color w:val="000000" w:themeColor="text1"/>
                <w:szCs w:val="21"/>
              </w:rPr>
            </w:pPr>
          </w:p>
        </w:tc>
        <w:tc>
          <w:tcPr>
            <w:tcW w:w="1495" w:type="dxa"/>
            <w:noWrap/>
            <w:vAlign w:val="center"/>
          </w:tcPr>
          <w:p w14:paraId="3D37FA2A">
            <w:pPr>
              <w:adjustRightInd w:val="0"/>
              <w:snapToGrid w:val="0"/>
              <w:spacing w:line="360" w:lineRule="auto"/>
              <w:ind w:right="105" w:rightChars="50"/>
              <w:jc w:val="center"/>
              <w:rPr>
                <w:rFonts w:ascii="仿宋_GB2312" w:hAnsi="仿宋" w:eastAsia="仿宋_GB2312" w:cs="仿宋_GB2312"/>
                <w:color w:val="000000" w:themeColor="text1"/>
                <w:szCs w:val="21"/>
              </w:rPr>
            </w:pPr>
          </w:p>
        </w:tc>
        <w:tc>
          <w:tcPr>
            <w:tcW w:w="2811" w:type="dxa"/>
            <w:noWrap/>
          </w:tcPr>
          <w:p w14:paraId="0DADE069">
            <w:pPr>
              <w:adjustRightInd w:val="0"/>
              <w:snapToGrid w:val="0"/>
              <w:spacing w:line="360" w:lineRule="auto"/>
              <w:ind w:right="105" w:rightChars="50"/>
              <w:jc w:val="center"/>
              <w:rPr>
                <w:rFonts w:ascii="仿宋_GB2312" w:hAnsi="仿宋" w:eastAsia="仿宋_GB2312" w:cs="仿宋_GB2312"/>
                <w:color w:val="000000" w:themeColor="text1"/>
                <w:szCs w:val="21"/>
              </w:rPr>
            </w:pPr>
          </w:p>
        </w:tc>
        <w:tc>
          <w:tcPr>
            <w:tcW w:w="2142" w:type="dxa"/>
            <w:noWrap/>
            <w:vAlign w:val="center"/>
          </w:tcPr>
          <w:p w14:paraId="5BD113F1">
            <w:pPr>
              <w:adjustRightInd w:val="0"/>
              <w:snapToGrid w:val="0"/>
              <w:spacing w:line="360" w:lineRule="auto"/>
              <w:ind w:right="105" w:rightChars="50"/>
              <w:jc w:val="center"/>
              <w:rPr>
                <w:rFonts w:ascii="仿宋_GB2312" w:hAnsi="仿宋" w:eastAsia="仿宋_GB2312" w:cs="仿宋_GB2312"/>
                <w:color w:val="000000" w:themeColor="text1"/>
                <w:szCs w:val="21"/>
              </w:rPr>
            </w:pPr>
          </w:p>
        </w:tc>
      </w:tr>
      <w:tr w14:paraId="25D35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noWrap/>
            <w:vAlign w:val="center"/>
          </w:tcPr>
          <w:p w14:paraId="68FDEBE9">
            <w:pPr>
              <w:adjustRightInd w:val="0"/>
              <w:snapToGrid w:val="0"/>
              <w:spacing w:line="360" w:lineRule="auto"/>
              <w:ind w:right="105" w:rightChars="50"/>
              <w:jc w:val="center"/>
              <w:rPr>
                <w:rFonts w:ascii="仿宋_GB2312" w:hAnsi="仿宋" w:eastAsia="仿宋_GB2312" w:cs="仿宋_GB2312"/>
                <w:color w:val="000000" w:themeColor="text1"/>
                <w:szCs w:val="21"/>
              </w:rPr>
            </w:pPr>
          </w:p>
        </w:tc>
        <w:tc>
          <w:tcPr>
            <w:tcW w:w="1495" w:type="dxa"/>
            <w:noWrap/>
            <w:vAlign w:val="center"/>
          </w:tcPr>
          <w:p w14:paraId="7347BDC7">
            <w:pPr>
              <w:adjustRightInd w:val="0"/>
              <w:snapToGrid w:val="0"/>
              <w:spacing w:line="360" w:lineRule="auto"/>
              <w:ind w:right="105" w:rightChars="50"/>
              <w:jc w:val="center"/>
              <w:rPr>
                <w:rFonts w:ascii="仿宋_GB2312" w:hAnsi="仿宋" w:eastAsia="仿宋_GB2312" w:cs="仿宋_GB2312"/>
                <w:color w:val="000000" w:themeColor="text1"/>
                <w:szCs w:val="21"/>
              </w:rPr>
            </w:pPr>
          </w:p>
        </w:tc>
        <w:tc>
          <w:tcPr>
            <w:tcW w:w="2811" w:type="dxa"/>
            <w:noWrap/>
          </w:tcPr>
          <w:p w14:paraId="59D4A04B">
            <w:pPr>
              <w:adjustRightInd w:val="0"/>
              <w:snapToGrid w:val="0"/>
              <w:spacing w:line="360" w:lineRule="auto"/>
              <w:ind w:right="105" w:rightChars="50"/>
              <w:jc w:val="center"/>
              <w:rPr>
                <w:rFonts w:ascii="仿宋_GB2312" w:hAnsi="仿宋" w:eastAsia="仿宋_GB2312" w:cs="仿宋_GB2312"/>
                <w:color w:val="000000" w:themeColor="text1"/>
                <w:szCs w:val="21"/>
              </w:rPr>
            </w:pPr>
          </w:p>
        </w:tc>
        <w:tc>
          <w:tcPr>
            <w:tcW w:w="2142" w:type="dxa"/>
            <w:noWrap/>
            <w:vAlign w:val="center"/>
          </w:tcPr>
          <w:p w14:paraId="40A6912D">
            <w:pPr>
              <w:adjustRightInd w:val="0"/>
              <w:snapToGrid w:val="0"/>
              <w:spacing w:line="360" w:lineRule="auto"/>
              <w:ind w:right="105" w:rightChars="50"/>
              <w:jc w:val="center"/>
              <w:rPr>
                <w:rFonts w:ascii="仿宋_GB2312" w:hAnsi="仿宋" w:eastAsia="仿宋_GB2312" w:cs="仿宋_GB2312"/>
                <w:color w:val="000000" w:themeColor="text1"/>
                <w:szCs w:val="21"/>
              </w:rPr>
            </w:pPr>
          </w:p>
        </w:tc>
      </w:tr>
    </w:tbl>
    <w:p w14:paraId="704BCB8E">
      <w:pPr>
        <w:adjustRightInd w:val="0"/>
        <w:snapToGrid w:val="0"/>
        <w:spacing w:line="360" w:lineRule="auto"/>
        <w:ind w:right="105" w:rightChars="50"/>
        <w:jc w:val="left"/>
        <w:rPr>
          <w:rFonts w:ascii="仿宋_GB2312" w:hAnsi="仿宋" w:eastAsia="仿宋_GB2312" w:cs="仿宋_GB2312"/>
          <w:color w:val="000000" w:themeColor="text1"/>
          <w:szCs w:val="21"/>
        </w:rPr>
      </w:pPr>
    </w:p>
    <w:p w14:paraId="31545900">
      <w:pPr>
        <w:adjustRightInd w:val="0"/>
        <w:snapToGrid w:val="0"/>
        <w:spacing w:line="360" w:lineRule="auto"/>
        <w:ind w:right="105" w:rightChars="50" w:firstLine="420" w:firstLineChars="200"/>
        <w:jc w:val="left"/>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注：1.此表中，单价应和开标一览表的响应单价相一致。</w:t>
      </w:r>
    </w:p>
    <w:p w14:paraId="67B80223">
      <w:pPr>
        <w:adjustRightInd w:val="0"/>
        <w:snapToGrid w:val="0"/>
        <w:spacing w:line="360" w:lineRule="auto"/>
        <w:ind w:right="105" w:rightChars="50" w:firstLine="840" w:firstLineChars="400"/>
        <w:jc w:val="left"/>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2.本表可根据实际情况进行拓展。</w:t>
      </w:r>
    </w:p>
    <w:p w14:paraId="7C070A67">
      <w:pPr>
        <w:spacing w:line="360" w:lineRule="auto"/>
        <w:rPr>
          <w:rFonts w:ascii="仿宋_GB2312" w:hAnsi="仿宋" w:eastAsia="仿宋_GB2312" w:cs="仿宋"/>
          <w:color w:val="000000" w:themeColor="text1"/>
          <w:szCs w:val="21"/>
          <w:lang w:bidi="zh-CN"/>
        </w:rPr>
      </w:pPr>
    </w:p>
    <w:p w14:paraId="61EE0DCE">
      <w:pPr>
        <w:adjustRightInd w:val="0"/>
        <w:snapToGrid w:val="0"/>
        <w:spacing w:line="360" w:lineRule="auto"/>
        <w:ind w:right="105" w:rightChars="50"/>
        <w:jc w:val="left"/>
        <w:rPr>
          <w:rFonts w:ascii="仿宋_GB2312" w:hAnsi="仿宋" w:eastAsia="仿宋_GB2312" w:cs="仿宋_GB2312"/>
          <w:color w:val="000000" w:themeColor="text1"/>
          <w:szCs w:val="21"/>
        </w:rPr>
      </w:pPr>
    </w:p>
    <w:p w14:paraId="6E3E17DB">
      <w:pPr>
        <w:adjustRightInd w:val="0"/>
        <w:snapToGrid w:val="0"/>
        <w:spacing w:line="360" w:lineRule="auto"/>
        <w:ind w:right="105" w:rightChars="50"/>
        <w:jc w:val="left"/>
        <w:rPr>
          <w:rFonts w:ascii="仿宋_GB2312" w:hAnsi="仿宋" w:eastAsia="仿宋_GB2312" w:cs="仿宋_GB2312"/>
          <w:color w:val="000000" w:themeColor="text1"/>
          <w:szCs w:val="21"/>
        </w:rPr>
      </w:pPr>
    </w:p>
    <w:p w14:paraId="7E14F295">
      <w:pPr>
        <w:adjustRightInd w:val="0"/>
        <w:snapToGrid w:val="0"/>
        <w:spacing w:line="360" w:lineRule="auto"/>
        <w:ind w:right="105" w:rightChars="50"/>
        <w:jc w:val="left"/>
        <w:rPr>
          <w:rFonts w:ascii="仿宋_GB2312" w:hAnsi="仿宋" w:eastAsia="仿宋_GB2312" w:cs="仿宋_GB2312"/>
          <w:color w:val="000000" w:themeColor="text1"/>
          <w:szCs w:val="21"/>
        </w:rPr>
      </w:pPr>
    </w:p>
    <w:p w14:paraId="4E0B7EFE">
      <w:pPr>
        <w:adjustRightInd w:val="0"/>
        <w:snapToGrid w:val="0"/>
        <w:spacing w:line="360" w:lineRule="auto"/>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供应商名称（加盖单位公章）：</w:t>
      </w:r>
    </w:p>
    <w:p w14:paraId="616BE21C">
      <w:pPr>
        <w:adjustRightInd w:val="0"/>
        <w:snapToGrid w:val="0"/>
        <w:spacing w:line="360" w:lineRule="auto"/>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法定代表人（或非法人组织负责人）或其授权委托人(签字或盖章)：</w:t>
      </w:r>
    </w:p>
    <w:p w14:paraId="5F8CC431">
      <w:pPr>
        <w:adjustRightInd w:val="0"/>
        <w:snapToGrid w:val="0"/>
        <w:spacing w:line="360" w:lineRule="auto"/>
        <w:ind w:right="1050" w:rightChars="500"/>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日期：</w:t>
      </w:r>
    </w:p>
    <w:p w14:paraId="68348434">
      <w:pPr>
        <w:adjustRightInd w:val="0"/>
        <w:snapToGrid w:val="0"/>
        <w:spacing w:line="360" w:lineRule="auto"/>
        <w:ind w:right="105" w:rightChars="50"/>
        <w:jc w:val="left"/>
        <w:rPr>
          <w:rFonts w:ascii="仿宋_GB2312" w:hAnsi="仿宋" w:eastAsia="仿宋_GB2312" w:cs="仿宋_GB2312"/>
          <w:color w:val="000000" w:themeColor="text1"/>
          <w:szCs w:val="21"/>
          <w:u w:val="single"/>
        </w:rPr>
      </w:pPr>
    </w:p>
    <w:p w14:paraId="5EF18825">
      <w:pPr>
        <w:spacing w:line="360" w:lineRule="auto"/>
        <w:rPr>
          <w:rFonts w:ascii="仿宋_GB2312" w:hAnsi="仿宋" w:eastAsia="仿宋_GB2312" w:cs="仿宋"/>
          <w:color w:val="000000" w:themeColor="text1"/>
          <w:szCs w:val="21"/>
        </w:rPr>
      </w:pPr>
    </w:p>
    <w:p w14:paraId="2D3F33C9">
      <w:pPr>
        <w:spacing w:line="360" w:lineRule="auto"/>
        <w:rPr>
          <w:rFonts w:ascii="仿宋_GB2312" w:hAnsi="仿宋" w:eastAsia="仿宋_GB2312" w:cs="仿宋"/>
          <w:color w:val="000000" w:themeColor="text1"/>
          <w:szCs w:val="21"/>
        </w:rPr>
      </w:pPr>
    </w:p>
    <w:p w14:paraId="7AB698DF">
      <w:pPr>
        <w:spacing w:line="360" w:lineRule="auto"/>
        <w:rPr>
          <w:rFonts w:ascii="仿宋_GB2312" w:hAnsi="仿宋" w:eastAsia="仿宋_GB2312" w:cs="仿宋"/>
          <w:color w:val="000000" w:themeColor="text1"/>
          <w:szCs w:val="21"/>
        </w:rPr>
      </w:pPr>
    </w:p>
    <w:p w14:paraId="09332C07">
      <w:pPr>
        <w:spacing w:line="360" w:lineRule="auto"/>
        <w:rPr>
          <w:rFonts w:ascii="仿宋_GB2312" w:hAnsi="仿宋" w:eastAsia="仿宋_GB2312" w:cs="Times New Roman"/>
          <w:color w:val="000000" w:themeColor="text1"/>
          <w:szCs w:val="21"/>
        </w:rPr>
      </w:pPr>
    </w:p>
    <w:p w14:paraId="03FDEE57">
      <w:pPr>
        <w:adjustRightInd w:val="0"/>
        <w:snapToGrid w:val="0"/>
        <w:spacing w:line="360" w:lineRule="auto"/>
        <w:ind w:right="105" w:rightChars="50"/>
        <w:jc w:val="center"/>
        <w:rPr>
          <w:rFonts w:ascii="仿宋_GB2312" w:hAnsi="仿宋" w:eastAsia="仿宋_GB2312" w:cs="仿宋_GB2312"/>
          <w:b/>
          <w:bCs/>
          <w:color w:val="000000" w:themeColor="text1"/>
          <w:sz w:val="28"/>
          <w:szCs w:val="28"/>
        </w:rPr>
      </w:pPr>
      <w:bookmarkStart w:id="2" w:name="_Toc4431_WPSOffice_Level2"/>
      <w:bookmarkStart w:id="3" w:name="_Toc8488_WPSOffice_Level2"/>
      <w:r>
        <w:rPr>
          <w:rFonts w:hint="eastAsia" w:ascii="仿宋_GB2312" w:hAnsi="仿宋" w:eastAsia="仿宋_GB2312" w:cs="仿宋_GB2312"/>
          <w:b/>
          <w:bCs/>
          <w:color w:val="000000" w:themeColor="text1"/>
          <w:sz w:val="28"/>
          <w:szCs w:val="28"/>
        </w:rPr>
        <w:t>商务条款偏离表</w:t>
      </w:r>
      <w:bookmarkEnd w:id="2"/>
      <w:bookmarkEnd w:id="3"/>
    </w:p>
    <w:p w14:paraId="3F4A0675">
      <w:pPr>
        <w:adjustRightInd w:val="0"/>
        <w:snapToGrid w:val="0"/>
        <w:spacing w:line="360" w:lineRule="auto"/>
        <w:ind w:right="105" w:rightChars="50"/>
        <w:jc w:val="left"/>
        <w:rPr>
          <w:rFonts w:ascii="仿宋_GB2312" w:hAnsi="仿宋" w:eastAsia="仿宋_GB2312" w:cs="仿宋_GB2312"/>
          <w:b/>
          <w:bCs/>
          <w:color w:val="000000" w:themeColor="text1"/>
          <w:szCs w:val="21"/>
        </w:rPr>
      </w:pPr>
      <w:r>
        <w:rPr>
          <w:rFonts w:hint="eastAsia" w:ascii="仿宋_GB2312" w:hAnsi="仿宋" w:eastAsia="仿宋_GB2312" w:cs="仿宋_GB2312"/>
          <w:b/>
          <w:bCs/>
          <w:color w:val="000000" w:themeColor="text1"/>
          <w:szCs w:val="21"/>
        </w:rPr>
        <w:t>包号：</w:t>
      </w:r>
    </w:p>
    <w:tbl>
      <w:tblPr>
        <w:tblStyle w:val="9"/>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3654"/>
        <w:gridCol w:w="2359"/>
        <w:gridCol w:w="1003"/>
        <w:gridCol w:w="893"/>
      </w:tblGrid>
      <w:tr w14:paraId="226AD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51" w:type="dxa"/>
            <w:noWrap/>
            <w:vAlign w:val="center"/>
          </w:tcPr>
          <w:p w14:paraId="60BE8FE1">
            <w:pPr>
              <w:adjustRightInd w:val="0"/>
              <w:snapToGrid w:val="0"/>
              <w:spacing w:line="360" w:lineRule="auto"/>
              <w:ind w:right="-48" w:rightChars="-23"/>
              <w:jc w:val="center"/>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序号</w:t>
            </w:r>
          </w:p>
        </w:tc>
        <w:tc>
          <w:tcPr>
            <w:tcW w:w="3654" w:type="dxa"/>
            <w:noWrap/>
            <w:vAlign w:val="center"/>
          </w:tcPr>
          <w:p w14:paraId="51DBA1B7">
            <w:pPr>
              <w:adjustRightInd w:val="0"/>
              <w:snapToGrid w:val="0"/>
              <w:spacing w:line="360" w:lineRule="auto"/>
              <w:ind w:right="-73" w:rightChars="-35"/>
              <w:jc w:val="left"/>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封闭式采购采购文件的商务条款</w:t>
            </w:r>
          </w:p>
          <w:p w14:paraId="23CFB562">
            <w:pPr>
              <w:adjustRightInd w:val="0"/>
              <w:snapToGrid w:val="0"/>
              <w:spacing w:line="360" w:lineRule="auto"/>
              <w:ind w:right="-73" w:rightChars="-35"/>
              <w:jc w:val="left"/>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w:t>
            </w:r>
            <w:r>
              <w:rPr>
                <w:rFonts w:hint="eastAsia" w:ascii="仿宋_GB2312" w:hAnsi="仿宋" w:eastAsia="仿宋_GB2312" w:cs="仿宋_GB2312"/>
                <w:b/>
                <w:color w:val="000000" w:themeColor="text1"/>
                <w:szCs w:val="21"/>
              </w:rPr>
              <w:t>实质性要求及重要指标用★标注，★标注项不得负偏离，如果负偏离，则响应文件无效。</w:t>
            </w:r>
            <w:r>
              <w:rPr>
                <w:rFonts w:hint="eastAsia" w:ascii="仿宋_GB2312" w:hAnsi="仿宋" w:eastAsia="仿宋_GB2312" w:cs="仿宋_GB2312"/>
                <w:color w:val="000000" w:themeColor="text1"/>
                <w:szCs w:val="21"/>
              </w:rPr>
              <w:t>）</w:t>
            </w:r>
          </w:p>
        </w:tc>
        <w:tc>
          <w:tcPr>
            <w:tcW w:w="2359" w:type="dxa"/>
            <w:noWrap/>
            <w:vAlign w:val="center"/>
          </w:tcPr>
          <w:p w14:paraId="72DD49A1">
            <w:pPr>
              <w:adjustRightInd w:val="0"/>
              <w:snapToGrid w:val="0"/>
              <w:spacing w:line="360" w:lineRule="auto"/>
              <w:ind w:right="-107" w:rightChars="-51"/>
              <w:jc w:val="center"/>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响应文件响应内容</w:t>
            </w:r>
          </w:p>
        </w:tc>
        <w:tc>
          <w:tcPr>
            <w:tcW w:w="1003" w:type="dxa"/>
            <w:noWrap/>
            <w:vAlign w:val="center"/>
          </w:tcPr>
          <w:p w14:paraId="1F20AE2D">
            <w:pPr>
              <w:adjustRightInd w:val="0"/>
              <w:snapToGrid w:val="0"/>
              <w:spacing w:line="360" w:lineRule="auto"/>
              <w:ind w:left="-59" w:leftChars="-28" w:right="-105" w:rightChars="-50"/>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偏离程度</w:t>
            </w:r>
          </w:p>
        </w:tc>
        <w:tc>
          <w:tcPr>
            <w:tcW w:w="893" w:type="dxa"/>
            <w:noWrap/>
            <w:vAlign w:val="center"/>
          </w:tcPr>
          <w:p w14:paraId="0508DA7A">
            <w:pPr>
              <w:adjustRightInd w:val="0"/>
              <w:snapToGrid w:val="0"/>
              <w:spacing w:line="360" w:lineRule="auto"/>
              <w:ind w:left="-59" w:leftChars="-28" w:right="-105" w:rightChars="-50"/>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偏离说明</w:t>
            </w:r>
          </w:p>
        </w:tc>
      </w:tr>
      <w:tr w14:paraId="1DAF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51" w:type="dxa"/>
            <w:noWrap/>
            <w:vAlign w:val="center"/>
          </w:tcPr>
          <w:p w14:paraId="3C048CDA">
            <w:pPr>
              <w:adjustRightInd w:val="0"/>
              <w:snapToGrid w:val="0"/>
              <w:spacing w:line="360" w:lineRule="auto"/>
              <w:ind w:right="105" w:rightChars="50"/>
              <w:jc w:val="center"/>
              <w:rPr>
                <w:rFonts w:ascii="仿宋_GB2312" w:hAnsi="仿宋" w:eastAsia="仿宋_GB2312" w:cs="仿宋_GB2312"/>
                <w:color w:val="000000" w:themeColor="text1"/>
                <w:szCs w:val="21"/>
              </w:rPr>
            </w:pPr>
            <w:r>
              <w:rPr>
                <w:rFonts w:hint="eastAsia" w:ascii="仿宋_GB2312" w:hAnsi="仿宋" w:eastAsia="仿宋_GB2312" w:cs="仿宋_GB2312"/>
                <w:b/>
                <w:color w:val="000000" w:themeColor="text1"/>
                <w:szCs w:val="21"/>
              </w:rPr>
              <w:t>★</w:t>
            </w:r>
            <w:r>
              <w:rPr>
                <w:rFonts w:hint="eastAsia" w:ascii="仿宋_GB2312" w:hAnsi="仿宋" w:eastAsia="仿宋_GB2312" w:cs="仿宋_GB2312"/>
                <w:color w:val="000000" w:themeColor="text1"/>
                <w:szCs w:val="21"/>
              </w:rPr>
              <w:t>1</w:t>
            </w:r>
          </w:p>
        </w:tc>
        <w:tc>
          <w:tcPr>
            <w:tcW w:w="3654" w:type="dxa"/>
            <w:noWrap/>
            <w:vAlign w:val="center"/>
          </w:tcPr>
          <w:p w14:paraId="33CC9FB9">
            <w:pPr>
              <w:adjustRightInd w:val="0"/>
              <w:snapToGrid w:val="0"/>
              <w:spacing w:line="360" w:lineRule="auto"/>
              <w:rPr>
                <w:rFonts w:ascii="仿宋_GB2312" w:hAnsi="仿宋" w:eastAsia="仿宋_GB2312" w:cs="仿宋_GB2312"/>
                <w:color w:val="000000" w:themeColor="text1"/>
                <w:szCs w:val="21"/>
              </w:rPr>
            </w:pPr>
            <w:r>
              <w:rPr>
                <w:rFonts w:hint="eastAsia" w:ascii="仿宋_GB2312" w:hAnsi="仿宋" w:eastAsia="仿宋_GB2312" w:cs="仿宋"/>
                <w:color w:val="000000" w:themeColor="text1"/>
                <w:szCs w:val="21"/>
              </w:rPr>
              <w:t>采购</w:t>
            </w:r>
            <w:r>
              <w:rPr>
                <w:rFonts w:hint="eastAsia" w:ascii="仿宋_GB2312" w:hAnsi="仿宋" w:eastAsia="仿宋_GB2312" w:cs="仿宋_GB2312"/>
                <w:color w:val="000000" w:themeColor="text1"/>
                <w:szCs w:val="21"/>
              </w:rPr>
              <w:t>履约期限：3年</w:t>
            </w:r>
          </w:p>
        </w:tc>
        <w:tc>
          <w:tcPr>
            <w:tcW w:w="2359" w:type="dxa"/>
            <w:noWrap/>
            <w:vAlign w:val="center"/>
          </w:tcPr>
          <w:p w14:paraId="4786B6E8">
            <w:pPr>
              <w:adjustRightInd w:val="0"/>
              <w:snapToGrid w:val="0"/>
              <w:spacing w:line="360" w:lineRule="auto"/>
              <w:ind w:right="105" w:rightChars="50"/>
              <w:jc w:val="center"/>
              <w:rPr>
                <w:rFonts w:ascii="仿宋_GB2312" w:hAnsi="仿宋" w:eastAsia="仿宋_GB2312" w:cs="仿宋_GB2312"/>
                <w:color w:val="000000" w:themeColor="text1"/>
                <w:szCs w:val="21"/>
              </w:rPr>
            </w:pPr>
          </w:p>
        </w:tc>
        <w:tc>
          <w:tcPr>
            <w:tcW w:w="1003" w:type="dxa"/>
            <w:noWrap/>
            <w:vAlign w:val="center"/>
          </w:tcPr>
          <w:p w14:paraId="1C89EB34">
            <w:pPr>
              <w:adjustRightInd w:val="0"/>
              <w:snapToGrid w:val="0"/>
              <w:spacing w:line="360" w:lineRule="auto"/>
              <w:ind w:right="105" w:rightChars="50"/>
              <w:jc w:val="center"/>
              <w:rPr>
                <w:rFonts w:ascii="仿宋_GB2312" w:hAnsi="仿宋" w:eastAsia="仿宋_GB2312" w:cs="仿宋_GB2312"/>
                <w:color w:val="000000" w:themeColor="text1"/>
                <w:szCs w:val="21"/>
              </w:rPr>
            </w:pPr>
          </w:p>
        </w:tc>
        <w:tc>
          <w:tcPr>
            <w:tcW w:w="893" w:type="dxa"/>
            <w:noWrap/>
            <w:vAlign w:val="center"/>
          </w:tcPr>
          <w:p w14:paraId="24D165DF">
            <w:pPr>
              <w:adjustRightInd w:val="0"/>
              <w:snapToGrid w:val="0"/>
              <w:spacing w:line="360" w:lineRule="auto"/>
              <w:ind w:right="105" w:rightChars="50"/>
              <w:jc w:val="center"/>
              <w:rPr>
                <w:rFonts w:ascii="仿宋_GB2312" w:hAnsi="仿宋" w:eastAsia="仿宋_GB2312" w:cs="仿宋_GB2312"/>
                <w:color w:val="000000" w:themeColor="text1"/>
                <w:szCs w:val="21"/>
              </w:rPr>
            </w:pPr>
          </w:p>
        </w:tc>
      </w:tr>
      <w:tr w14:paraId="34FF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51" w:type="dxa"/>
            <w:noWrap/>
            <w:vAlign w:val="center"/>
          </w:tcPr>
          <w:p w14:paraId="603FDD32">
            <w:pPr>
              <w:adjustRightInd w:val="0"/>
              <w:snapToGrid w:val="0"/>
              <w:spacing w:line="360" w:lineRule="auto"/>
              <w:ind w:right="105" w:rightChars="50"/>
              <w:jc w:val="center"/>
              <w:rPr>
                <w:rFonts w:ascii="仿宋_GB2312" w:hAnsi="仿宋" w:eastAsia="仿宋_GB2312" w:cs="仿宋_GB2312"/>
                <w:color w:val="000000" w:themeColor="text1"/>
                <w:szCs w:val="21"/>
              </w:rPr>
            </w:pPr>
            <w:r>
              <w:rPr>
                <w:rFonts w:hint="eastAsia" w:ascii="仿宋_GB2312" w:hAnsi="仿宋" w:eastAsia="仿宋_GB2312" w:cs="仿宋_GB2312"/>
                <w:b/>
                <w:color w:val="000000" w:themeColor="text1"/>
                <w:szCs w:val="21"/>
              </w:rPr>
              <w:t>★</w:t>
            </w:r>
            <w:r>
              <w:rPr>
                <w:rFonts w:hint="eastAsia" w:ascii="仿宋_GB2312" w:hAnsi="仿宋" w:eastAsia="仿宋_GB2312" w:cs="仿宋_GB2312"/>
                <w:color w:val="000000" w:themeColor="text1"/>
                <w:szCs w:val="21"/>
              </w:rPr>
              <w:t>2</w:t>
            </w:r>
          </w:p>
        </w:tc>
        <w:tc>
          <w:tcPr>
            <w:tcW w:w="3654" w:type="dxa"/>
            <w:noWrap/>
            <w:vAlign w:val="center"/>
          </w:tcPr>
          <w:p w14:paraId="30BC4604">
            <w:pPr>
              <w:adjustRightInd w:val="0"/>
              <w:snapToGrid w:val="0"/>
              <w:spacing w:line="360" w:lineRule="auto"/>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服务地点：采购人要求的服务地点</w:t>
            </w:r>
          </w:p>
        </w:tc>
        <w:tc>
          <w:tcPr>
            <w:tcW w:w="2359" w:type="dxa"/>
            <w:noWrap/>
            <w:vAlign w:val="center"/>
          </w:tcPr>
          <w:p w14:paraId="7841C0BC">
            <w:pPr>
              <w:adjustRightInd w:val="0"/>
              <w:snapToGrid w:val="0"/>
              <w:spacing w:line="360" w:lineRule="auto"/>
              <w:ind w:right="105" w:rightChars="50"/>
              <w:jc w:val="center"/>
              <w:rPr>
                <w:rFonts w:ascii="仿宋_GB2312" w:hAnsi="仿宋" w:eastAsia="仿宋_GB2312" w:cs="仿宋_GB2312"/>
                <w:color w:val="000000" w:themeColor="text1"/>
                <w:szCs w:val="21"/>
              </w:rPr>
            </w:pPr>
          </w:p>
        </w:tc>
        <w:tc>
          <w:tcPr>
            <w:tcW w:w="1003" w:type="dxa"/>
            <w:noWrap/>
            <w:vAlign w:val="center"/>
          </w:tcPr>
          <w:p w14:paraId="17A72173">
            <w:pPr>
              <w:adjustRightInd w:val="0"/>
              <w:snapToGrid w:val="0"/>
              <w:spacing w:line="360" w:lineRule="auto"/>
              <w:ind w:right="105" w:rightChars="50"/>
              <w:jc w:val="center"/>
              <w:rPr>
                <w:rFonts w:ascii="仿宋_GB2312" w:hAnsi="仿宋" w:eastAsia="仿宋_GB2312" w:cs="仿宋_GB2312"/>
                <w:color w:val="000000" w:themeColor="text1"/>
                <w:szCs w:val="21"/>
              </w:rPr>
            </w:pPr>
          </w:p>
        </w:tc>
        <w:tc>
          <w:tcPr>
            <w:tcW w:w="893" w:type="dxa"/>
            <w:noWrap/>
            <w:vAlign w:val="center"/>
          </w:tcPr>
          <w:p w14:paraId="2B5451E6">
            <w:pPr>
              <w:adjustRightInd w:val="0"/>
              <w:snapToGrid w:val="0"/>
              <w:spacing w:line="360" w:lineRule="auto"/>
              <w:ind w:right="105" w:rightChars="50"/>
              <w:jc w:val="center"/>
              <w:rPr>
                <w:rFonts w:ascii="仿宋_GB2312" w:hAnsi="仿宋" w:eastAsia="仿宋_GB2312" w:cs="仿宋_GB2312"/>
                <w:color w:val="000000" w:themeColor="text1"/>
                <w:szCs w:val="21"/>
              </w:rPr>
            </w:pPr>
          </w:p>
        </w:tc>
      </w:tr>
      <w:tr w14:paraId="06ED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51" w:type="dxa"/>
            <w:noWrap/>
            <w:vAlign w:val="center"/>
          </w:tcPr>
          <w:p w14:paraId="07486F87">
            <w:pPr>
              <w:adjustRightInd w:val="0"/>
              <w:snapToGrid w:val="0"/>
              <w:spacing w:line="360" w:lineRule="auto"/>
              <w:ind w:right="105" w:rightChars="50"/>
              <w:jc w:val="center"/>
              <w:rPr>
                <w:rFonts w:ascii="仿宋_GB2312" w:hAnsi="仿宋" w:eastAsia="仿宋_GB2312" w:cs="仿宋_GB2312"/>
                <w:color w:val="000000" w:themeColor="text1"/>
                <w:szCs w:val="21"/>
              </w:rPr>
            </w:pPr>
            <w:r>
              <w:rPr>
                <w:rFonts w:hint="eastAsia" w:ascii="仿宋_GB2312" w:hAnsi="仿宋" w:eastAsia="仿宋_GB2312" w:cs="仿宋_GB2312"/>
                <w:b/>
                <w:color w:val="000000" w:themeColor="text1"/>
                <w:szCs w:val="21"/>
              </w:rPr>
              <w:t>★</w:t>
            </w:r>
            <w:r>
              <w:rPr>
                <w:rFonts w:hint="eastAsia" w:ascii="仿宋_GB2312" w:hAnsi="仿宋" w:eastAsia="仿宋_GB2312" w:cs="仿宋_GB2312"/>
                <w:color w:val="000000" w:themeColor="text1"/>
                <w:szCs w:val="21"/>
              </w:rPr>
              <w:t>3</w:t>
            </w:r>
          </w:p>
        </w:tc>
        <w:tc>
          <w:tcPr>
            <w:tcW w:w="3654" w:type="dxa"/>
            <w:noWrap/>
            <w:vAlign w:val="center"/>
          </w:tcPr>
          <w:p w14:paraId="2B19835F">
            <w:pPr>
              <w:adjustRightInd w:val="0"/>
              <w:snapToGrid w:val="0"/>
              <w:spacing w:line="360" w:lineRule="auto"/>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费用支付方式：按月付款，服务满一个月后，由服务提供方提供正规税务发票，经学校相关部门考核符合要求后，在下月25日前以银行转帐方式支付上月服务费。如服务提供方有违约扣款，经双方相关人员核实确认后，报学校财务部门从服务提供方当月服务费用中扣除。</w:t>
            </w:r>
          </w:p>
        </w:tc>
        <w:tc>
          <w:tcPr>
            <w:tcW w:w="2359" w:type="dxa"/>
            <w:noWrap/>
            <w:vAlign w:val="center"/>
          </w:tcPr>
          <w:p w14:paraId="37A68FC6">
            <w:pPr>
              <w:adjustRightInd w:val="0"/>
              <w:snapToGrid w:val="0"/>
              <w:spacing w:line="360" w:lineRule="auto"/>
              <w:ind w:right="105" w:rightChars="50"/>
              <w:jc w:val="center"/>
              <w:rPr>
                <w:rFonts w:ascii="仿宋_GB2312" w:hAnsi="仿宋" w:eastAsia="仿宋_GB2312" w:cs="仿宋_GB2312"/>
                <w:color w:val="000000" w:themeColor="text1"/>
                <w:szCs w:val="21"/>
              </w:rPr>
            </w:pPr>
          </w:p>
        </w:tc>
        <w:tc>
          <w:tcPr>
            <w:tcW w:w="1003" w:type="dxa"/>
            <w:noWrap/>
            <w:vAlign w:val="center"/>
          </w:tcPr>
          <w:p w14:paraId="03898D56">
            <w:pPr>
              <w:adjustRightInd w:val="0"/>
              <w:snapToGrid w:val="0"/>
              <w:spacing w:line="360" w:lineRule="auto"/>
              <w:ind w:right="105" w:rightChars="50"/>
              <w:jc w:val="center"/>
              <w:rPr>
                <w:rFonts w:ascii="仿宋_GB2312" w:hAnsi="仿宋" w:eastAsia="仿宋_GB2312" w:cs="仿宋_GB2312"/>
                <w:color w:val="000000" w:themeColor="text1"/>
                <w:szCs w:val="21"/>
              </w:rPr>
            </w:pPr>
          </w:p>
        </w:tc>
        <w:tc>
          <w:tcPr>
            <w:tcW w:w="893" w:type="dxa"/>
            <w:noWrap/>
            <w:vAlign w:val="center"/>
          </w:tcPr>
          <w:p w14:paraId="6CEA4B0D">
            <w:pPr>
              <w:adjustRightInd w:val="0"/>
              <w:snapToGrid w:val="0"/>
              <w:spacing w:line="360" w:lineRule="auto"/>
              <w:ind w:right="105" w:rightChars="50"/>
              <w:jc w:val="center"/>
              <w:rPr>
                <w:rFonts w:ascii="仿宋_GB2312" w:hAnsi="仿宋" w:eastAsia="仿宋_GB2312" w:cs="仿宋_GB2312"/>
                <w:color w:val="000000" w:themeColor="text1"/>
                <w:szCs w:val="21"/>
              </w:rPr>
            </w:pPr>
          </w:p>
        </w:tc>
      </w:tr>
      <w:tr w14:paraId="5F08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51" w:type="dxa"/>
            <w:noWrap/>
            <w:vAlign w:val="center"/>
          </w:tcPr>
          <w:p w14:paraId="25431C66">
            <w:pPr>
              <w:adjustRightInd w:val="0"/>
              <w:snapToGrid w:val="0"/>
              <w:spacing w:line="360" w:lineRule="auto"/>
              <w:ind w:right="105" w:rightChars="50"/>
              <w:jc w:val="center"/>
              <w:rPr>
                <w:rFonts w:ascii="仿宋_GB2312" w:hAnsi="仿宋" w:eastAsia="仿宋_GB2312" w:cs="仿宋_GB2312"/>
                <w:color w:val="000000" w:themeColor="text1"/>
                <w:szCs w:val="21"/>
              </w:rPr>
            </w:pPr>
            <w:r>
              <w:rPr>
                <w:rFonts w:hint="eastAsia" w:ascii="仿宋_GB2312" w:hAnsi="仿宋" w:eastAsia="仿宋_GB2312" w:cs="仿宋_GB2312"/>
                <w:b/>
                <w:color w:val="000000" w:themeColor="text1"/>
                <w:szCs w:val="21"/>
              </w:rPr>
              <w:t>★</w:t>
            </w:r>
            <w:r>
              <w:rPr>
                <w:rFonts w:hint="eastAsia" w:ascii="仿宋_GB2312" w:hAnsi="仿宋" w:eastAsia="仿宋_GB2312" w:cs="仿宋_GB2312"/>
                <w:color w:val="000000" w:themeColor="text1"/>
                <w:szCs w:val="21"/>
              </w:rPr>
              <w:t>4</w:t>
            </w:r>
          </w:p>
        </w:tc>
        <w:tc>
          <w:tcPr>
            <w:tcW w:w="3654" w:type="dxa"/>
            <w:noWrap/>
            <w:vAlign w:val="center"/>
          </w:tcPr>
          <w:p w14:paraId="27F140B8">
            <w:pPr>
              <w:adjustRightInd w:val="0"/>
              <w:snapToGrid w:val="0"/>
              <w:spacing w:line="360" w:lineRule="auto"/>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验收标准：按照学校日常服务考核要求进行验收</w:t>
            </w:r>
          </w:p>
        </w:tc>
        <w:tc>
          <w:tcPr>
            <w:tcW w:w="2359" w:type="dxa"/>
            <w:noWrap/>
            <w:vAlign w:val="center"/>
          </w:tcPr>
          <w:p w14:paraId="0846CE64">
            <w:pPr>
              <w:adjustRightInd w:val="0"/>
              <w:snapToGrid w:val="0"/>
              <w:spacing w:line="360" w:lineRule="auto"/>
              <w:ind w:right="105" w:rightChars="50"/>
              <w:jc w:val="center"/>
              <w:rPr>
                <w:rFonts w:ascii="仿宋_GB2312" w:hAnsi="仿宋" w:eastAsia="仿宋_GB2312" w:cs="仿宋_GB2312"/>
                <w:color w:val="000000" w:themeColor="text1"/>
                <w:szCs w:val="21"/>
              </w:rPr>
            </w:pPr>
          </w:p>
        </w:tc>
        <w:tc>
          <w:tcPr>
            <w:tcW w:w="1003" w:type="dxa"/>
            <w:noWrap/>
            <w:vAlign w:val="center"/>
          </w:tcPr>
          <w:p w14:paraId="600717F0">
            <w:pPr>
              <w:adjustRightInd w:val="0"/>
              <w:snapToGrid w:val="0"/>
              <w:spacing w:line="360" w:lineRule="auto"/>
              <w:ind w:right="105" w:rightChars="50"/>
              <w:jc w:val="center"/>
              <w:rPr>
                <w:rFonts w:ascii="仿宋_GB2312" w:hAnsi="仿宋" w:eastAsia="仿宋_GB2312" w:cs="仿宋_GB2312"/>
                <w:color w:val="000000" w:themeColor="text1"/>
                <w:szCs w:val="21"/>
              </w:rPr>
            </w:pPr>
          </w:p>
        </w:tc>
        <w:tc>
          <w:tcPr>
            <w:tcW w:w="893" w:type="dxa"/>
            <w:noWrap/>
            <w:vAlign w:val="center"/>
          </w:tcPr>
          <w:p w14:paraId="6B8148AE">
            <w:pPr>
              <w:adjustRightInd w:val="0"/>
              <w:snapToGrid w:val="0"/>
              <w:spacing w:line="360" w:lineRule="auto"/>
              <w:ind w:right="105" w:rightChars="50"/>
              <w:jc w:val="center"/>
              <w:rPr>
                <w:rFonts w:ascii="仿宋_GB2312" w:hAnsi="仿宋" w:eastAsia="仿宋_GB2312" w:cs="仿宋_GB2312"/>
                <w:color w:val="000000" w:themeColor="text1"/>
                <w:szCs w:val="21"/>
              </w:rPr>
            </w:pPr>
          </w:p>
        </w:tc>
      </w:tr>
      <w:tr w14:paraId="3B2A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51" w:type="dxa"/>
            <w:noWrap/>
            <w:vAlign w:val="center"/>
          </w:tcPr>
          <w:p w14:paraId="6F3120AA">
            <w:pPr>
              <w:adjustRightInd w:val="0"/>
              <w:snapToGrid w:val="0"/>
              <w:spacing w:line="360" w:lineRule="auto"/>
              <w:ind w:right="105" w:rightChars="50"/>
              <w:jc w:val="center"/>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5</w:t>
            </w:r>
          </w:p>
        </w:tc>
        <w:tc>
          <w:tcPr>
            <w:tcW w:w="3654" w:type="dxa"/>
            <w:noWrap/>
            <w:vAlign w:val="center"/>
          </w:tcPr>
          <w:p w14:paraId="45714BD3">
            <w:pPr>
              <w:adjustRightInd w:val="0"/>
              <w:snapToGrid w:val="0"/>
              <w:spacing w:line="360" w:lineRule="auto"/>
              <w:ind w:hanging="1"/>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其它</w:t>
            </w:r>
          </w:p>
        </w:tc>
        <w:tc>
          <w:tcPr>
            <w:tcW w:w="2359" w:type="dxa"/>
            <w:noWrap/>
            <w:vAlign w:val="center"/>
          </w:tcPr>
          <w:p w14:paraId="3546B783">
            <w:pPr>
              <w:adjustRightInd w:val="0"/>
              <w:snapToGrid w:val="0"/>
              <w:spacing w:line="360" w:lineRule="auto"/>
              <w:ind w:left="-38" w:leftChars="-18"/>
              <w:jc w:val="left"/>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采购单位未提供需求而供应商认为需说明及补充的内容在此填列</w:t>
            </w:r>
          </w:p>
        </w:tc>
        <w:tc>
          <w:tcPr>
            <w:tcW w:w="1003" w:type="dxa"/>
            <w:noWrap/>
            <w:vAlign w:val="center"/>
          </w:tcPr>
          <w:p w14:paraId="16F82027">
            <w:pPr>
              <w:adjustRightInd w:val="0"/>
              <w:snapToGrid w:val="0"/>
              <w:spacing w:line="360" w:lineRule="auto"/>
              <w:ind w:right="105" w:rightChars="50"/>
              <w:jc w:val="center"/>
              <w:rPr>
                <w:rFonts w:ascii="仿宋_GB2312" w:hAnsi="仿宋" w:eastAsia="仿宋_GB2312" w:cs="仿宋_GB2312"/>
                <w:color w:val="000000" w:themeColor="text1"/>
                <w:szCs w:val="21"/>
              </w:rPr>
            </w:pPr>
          </w:p>
        </w:tc>
        <w:tc>
          <w:tcPr>
            <w:tcW w:w="893" w:type="dxa"/>
            <w:noWrap/>
            <w:vAlign w:val="center"/>
          </w:tcPr>
          <w:p w14:paraId="730E7184">
            <w:pPr>
              <w:adjustRightInd w:val="0"/>
              <w:snapToGrid w:val="0"/>
              <w:spacing w:line="360" w:lineRule="auto"/>
              <w:ind w:right="105" w:rightChars="50"/>
              <w:jc w:val="center"/>
              <w:rPr>
                <w:rFonts w:ascii="仿宋_GB2312" w:hAnsi="仿宋" w:eastAsia="仿宋_GB2312" w:cs="仿宋_GB2312"/>
                <w:color w:val="000000" w:themeColor="text1"/>
                <w:szCs w:val="21"/>
              </w:rPr>
            </w:pPr>
          </w:p>
        </w:tc>
      </w:tr>
    </w:tbl>
    <w:p w14:paraId="39B35292">
      <w:pPr>
        <w:adjustRightInd w:val="0"/>
        <w:snapToGrid w:val="0"/>
        <w:spacing w:line="360" w:lineRule="auto"/>
        <w:ind w:right="105" w:rightChars="50"/>
        <w:jc w:val="left"/>
        <w:rPr>
          <w:rFonts w:ascii="仿宋_GB2312" w:hAnsi="仿宋" w:eastAsia="仿宋_GB2312" w:cs="仿宋_GB2312"/>
          <w:color w:val="000000" w:themeColor="text1"/>
          <w:szCs w:val="21"/>
        </w:rPr>
      </w:pPr>
      <w:r>
        <w:rPr>
          <w:rFonts w:hint="eastAsia" w:ascii="仿宋_GB2312" w:hAnsi="仿宋" w:eastAsia="仿宋_GB2312" w:cs="仿宋_GB2312"/>
          <w:b/>
          <w:color w:val="000000" w:themeColor="text1"/>
          <w:szCs w:val="21"/>
        </w:rPr>
        <w:t>填表要求：</w:t>
      </w:r>
    </w:p>
    <w:p w14:paraId="179313F6">
      <w:pPr>
        <w:adjustRightInd w:val="0"/>
        <w:snapToGrid w:val="0"/>
        <w:spacing w:line="360" w:lineRule="auto"/>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1．“响应文件响应内容”一栏由供应商按照采购采购文件要求填写，进行响应。</w:t>
      </w:r>
    </w:p>
    <w:p w14:paraId="78DAFB88">
      <w:pPr>
        <w:adjustRightInd w:val="0"/>
        <w:snapToGrid w:val="0"/>
        <w:spacing w:line="360" w:lineRule="auto"/>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2．“偏离程度”一栏根据“响应文件响应内容”与采购采购文件逐项对照的结果填写。偏离必须用 “正偏离、负偏离或无偏离”三个名称中的一种进行标注。</w:t>
      </w:r>
    </w:p>
    <w:p w14:paraId="3DC2128C">
      <w:pPr>
        <w:adjustRightInd w:val="0"/>
        <w:snapToGrid w:val="0"/>
        <w:spacing w:line="360" w:lineRule="auto"/>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3．“偏离说明”一栏由供应商对偏离的情况做详细说明。</w:t>
      </w:r>
    </w:p>
    <w:p w14:paraId="520F1775">
      <w:pPr>
        <w:spacing w:line="360" w:lineRule="auto"/>
        <w:rPr>
          <w:rFonts w:ascii="仿宋_GB2312" w:hAnsi="仿宋" w:eastAsia="仿宋_GB2312" w:cs="仿宋_GB2312"/>
          <w:color w:val="000000" w:themeColor="text1"/>
          <w:szCs w:val="21"/>
          <w:lang w:val="zh-CN" w:bidi="zh-CN"/>
        </w:rPr>
      </w:pPr>
    </w:p>
    <w:p w14:paraId="7D579CE1">
      <w:pPr>
        <w:spacing w:line="360" w:lineRule="auto"/>
        <w:rPr>
          <w:rFonts w:ascii="仿宋_GB2312" w:hAnsi="仿宋" w:eastAsia="仿宋_GB2312" w:cs="仿宋_GB2312"/>
          <w:color w:val="000000" w:themeColor="text1"/>
          <w:szCs w:val="21"/>
          <w:lang w:val="zh-CN" w:bidi="zh-CN"/>
        </w:rPr>
      </w:pPr>
    </w:p>
    <w:p w14:paraId="3F1BFE0C">
      <w:pPr>
        <w:snapToGrid w:val="0"/>
        <w:spacing w:line="360" w:lineRule="auto"/>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供应商名称（加盖单位公章）：</w:t>
      </w:r>
    </w:p>
    <w:p w14:paraId="3DBF31A2">
      <w:pPr>
        <w:snapToGrid w:val="0"/>
        <w:spacing w:line="360" w:lineRule="auto"/>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法定代表人（或非法人组织负责人）或其授权委托人(签字或盖章)：</w:t>
      </w:r>
    </w:p>
    <w:p w14:paraId="13A5147C">
      <w:pPr>
        <w:snapToGrid w:val="0"/>
        <w:spacing w:line="360" w:lineRule="auto"/>
        <w:rPr>
          <w:rFonts w:ascii="仿宋_GB2312" w:hAnsi="仿宋" w:eastAsia="仿宋_GB2312" w:cs="仿宋_GB2312"/>
          <w:color w:val="000000" w:themeColor="text1"/>
          <w:szCs w:val="21"/>
          <w:u w:val="single"/>
        </w:rPr>
      </w:pPr>
      <w:r>
        <w:rPr>
          <w:rFonts w:hint="eastAsia" w:ascii="仿宋_GB2312" w:hAnsi="仿宋" w:eastAsia="仿宋_GB2312" w:cs="仿宋_GB2312"/>
          <w:color w:val="000000" w:themeColor="text1"/>
          <w:szCs w:val="21"/>
        </w:rPr>
        <w:t>日期：</w:t>
      </w:r>
    </w:p>
    <w:p w14:paraId="2025FCD0">
      <w:pPr>
        <w:spacing w:line="360" w:lineRule="auto"/>
        <w:rPr>
          <w:rFonts w:ascii="仿宋_GB2312" w:hAnsi="仿宋" w:eastAsia="仿宋_GB2312" w:cs="Times New Roman"/>
          <w:color w:val="000000" w:themeColor="text1"/>
          <w:szCs w:val="21"/>
        </w:rPr>
      </w:pPr>
    </w:p>
    <w:p w14:paraId="6C93856C">
      <w:pPr>
        <w:adjustRightInd w:val="0"/>
        <w:snapToGrid w:val="0"/>
        <w:spacing w:before="312" w:beforeLines="100" w:after="312" w:afterLines="100" w:line="360" w:lineRule="auto"/>
        <w:ind w:right="105" w:rightChars="50"/>
        <w:jc w:val="center"/>
        <w:rPr>
          <w:rFonts w:ascii="仿宋_GB2312" w:hAnsi="仿宋" w:eastAsia="仿宋_GB2312" w:cs="仿宋_GB2312"/>
          <w:b/>
          <w:bCs/>
          <w:color w:val="000000" w:themeColor="text1"/>
          <w:sz w:val="28"/>
          <w:szCs w:val="28"/>
        </w:rPr>
      </w:pPr>
      <w:bookmarkStart w:id="4" w:name="_Toc20929_WPSOffice_Level2"/>
      <w:bookmarkStart w:id="5" w:name="_Toc9410_WPSOffice_Level2"/>
      <w:r>
        <w:rPr>
          <w:rFonts w:hint="eastAsia" w:ascii="仿宋_GB2312" w:hAnsi="仿宋" w:eastAsia="仿宋_GB2312" w:cs="仿宋_GB2312"/>
          <w:b/>
          <w:bCs/>
          <w:color w:val="000000" w:themeColor="text1"/>
          <w:sz w:val="28"/>
          <w:szCs w:val="28"/>
        </w:rPr>
        <w:t>供应商关联单位的说明</w:t>
      </w:r>
      <w:bookmarkEnd w:id="4"/>
      <w:bookmarkEnd w:id="5"/>
    </w:p>
    <w:p w14:paraId="7CD24930">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说明：供应商应当如实披露与本单位存在下列关联关系的单位名称：</w:t>
      </w:r>
    </w:p>
    <w:p w14:paraId="197EF691">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rPr>
      </w:pPr>
      <w:bookmarkStart w:id="6" w:name="_Toc2074_WPSOffice_Level2"/>
      <w:bookmarkStart w:id="7" w:name="_Toc31070_WPSOffice_Level2"/>
      <w:r>
        <w:rPr>
          <w:rFonts w:hint="eastAsia" w:ascii="仿宋_GB2312" w:hAnsi="仿宋" w:eastAsia="仿宋_GB2312" w:cs="仿宋_GB2312"/>
          <w:color w:val="000000" w:themeColor="text1"/>
          <w:szCs w:val="21"/>
        </w:rPr>
        <w:t>（1）与供应商单位法定代表人（或非法人组织负责人）为同一人的其他单位；</w:t>
      </w:r>
      <w:bookmarkEnd w:id="6"/>
      <w:bookmarkEnd w:id="7"/>
    </w:p>
    <w:p w14:paraId="6538D24D">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rPr>
      </w:pPr>
      <w:bookmarkStart w:id="8" w:name="_Toc889_WPSOffice_Level2"/>
      <w:bookmarkStart w:id="9" w:name="_Toc27053_WPSOffice_Level2"/>
      <w:r>
        <w:rPr>
          <w:rFonts w:hint="eastAsia" w:ascii="仿宋_GB2312" w:hAnsi="仿宋" w:eastAsia="仿宋_GB2312" w:cs="仿宋_GB2312"/>
          <w:color w:val="000000" w:themeColor="text1"/>
          <w:szCs w:val="21"/>
        </w:rPr>
        <w:t>（2）与供应商存在直接控股、管理关系的其他单位。</w:t>
      </w:r>
      <w:bookmarkEnd w:id="8"/>
      <w:bookmarkEnd w:id="9"/>
    </w:p>
    <w:p w14:paraId="4BEE3F7C">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rPr>
      </w:pPr>
    </w:p>
    <w:p w14:paraId="298DB67F">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注：若无此情形，写“无”即可</w:t>
      </w:r>
    </w:p>
    <w:p w14:paraId="270D7DCC">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rPr>
      </w:pPr>
    </w:p>
    <w:p w14:paraId="58958765">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rPr>
      </w:pPr>
    </w:p>
    <w:p w14:paraId="0850E3C8">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rPr>
      </w:pPr>
    </w:p>
    <w:p w14:paraId="77FBA50A">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rPr>
      </w:pPr>
    </w:p>
    <w:p w14:paraId="61EA7419">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rPr>
      </w:pPr>
    </w:p>
    <w:p w14:paraId="507AC591">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rPr>
      </w:pPr>
    </w:p>
    <w:p w14:paraId="29F6BAAF">
      <w:pPr>
        <w:adjustRightInd w:val="0"/>
        <w:snapToGrid w:val="0"/>
        <w:spacing w:line="360" w:lineRule="auto"/>
        <w:ind w:right="105" w:rightChars="50" w:firstLine="476" w:firstLineChars="227"/>
        <w:jc w:val="left"/>
        <w:rPr>
          <w:rFonts w:ascii="仿宋_GB2312" w:hAnsi="仿宋" w:eastAsia="仿宋_GB2312" w:cs="仿宋_GB2312"/>
          <w:color w:val="000000" w:themeColor="text1"/>
          <w:szCs w:val="21"/>
        </w:rPr>
      </w:pPr>
    </w:p>
    <w:p w14:paraId="77A11FB7">
      <w:pPr>
        <w:snapToGrid w:val="0"/>
        <w:spacing w:line="360" w:lineRule="auto"/>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供应商名称（加盖单位公章）：</w:t>
      </w:r>
    </w:p>
    <w:p w14:paraId="3BF1D48A">
      <w:pPr>
        <w:snapToGrid w:val="0"/>
        <w:spacing w:line="360" w:lineRule="auto"/>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法定代表人（或非法人组织负责人）或其授权委托人(签字或盖章)：</w:t>
      </w:r>
    </w:p>
    <w:p w14:paraId="51E6A3CF">
      <w:pPr>
        <w:adjustRightInd w:val="0"/>
        <w:snapToGrid w:val="0"/>
        <w:spacing w:line="360" w:lineRule="auto"/>
        <w:ind w:right="105" w:rightChars="50"/>
        <w:jc w:val="left"/>
        <w:rPr>
          <w:rFonts w:ascii="仿宋_GB2312" w:hAnsi="仿宋" w:eastAsia="仿宋_GB2312" w:cs="仿宋_GB2312"/>
          <w:color w:val="000000" w:themeColor="text1"/>
          <w:szCs w:val="21"/>
          <w:u w:val="single"/>
        </w:rPr>
      </w:pPr>
      <w:r>
        <w:rPr>
          <w:rFonts w:hint="eastAsia" w:ascii="仿宋_GB2312" w:hAnsi="仿宋" w:eastAsia="仿宋_GB2312" w:cs="仿宋_GB2312"/>
          <w:color w:val="000000" w:themeColor="text1"/>
          <w:szCs w:val="21"/>
        </w:rPr>
        <w:t>日期：</w:t>
      </w:r>
    </w:p>
    <w:p w14:paraId="1A9711F8">
      <w:pPr>
        <w:spacing w:line="360" w:lineRule="auto"/>
        <w:rPr>
          <w:rFonts w:ascii="仿宋_GB2312" w:hAnsi="仿宋" w:eastAsia="仿宋_GB2312" w:cs="Times New Roman"/>
          <w:color w:val="000000" w:themeColor="text1"/>
          <w:szCs w:val="21"/>
        </w:rPr>
      </w:pPr>
    </w:p>
    <w:p w14:paraId="51791441">
      <w:pPr>
        <w:spacing w:line="360" w:lineRule="auto"/>
        <w:rPr>
          <w:rFonts w:ascii="仿宋_GB2312" w:hAnsi="仿宋" w:eastAsia="仿宋_GB2312" w:cs="Times New Roman"/>
          <w:color w:val="000000" w:themeColor="text1"/>
          <w:szCs w:val="21"/>
        </w:rPr>
      </w:pPr>
    </w:p>
    <w:p w14:paraId="51535588">
      <w:pPr>
        <w:spacing w:line="360" w:lineRule="auto"/>
        <w:rPr>
          <w:rFonts w:ascii="仿宋_GB2312" w:hAnsi="仿宋" w:eastAsia="仿宋_GB2312" w:cs="Times New Roman"/>
          <w:color w:val="000000" w:themeColor="text1"/>
          <w:szCs w:val="21"/>
        </w:rPr>
      </w:pPr>
    </w:p>
    <w:p w14:paraId="355BC635">
      <w:pPr>
        <w:spacing w:line="360" w:lineRule="auto"/>
        <w:rPr>
          <w:rFonts w:ascii="仿宋_GB2312" w:hAnsi="仿宋" w:eastAsia="仿宋_GB2312" w:cs="Times New Roman"/>
          <w:color w:val="000000" w:themeColor="text1"/>
          <w:szCs w:val="21"/>
        </w:rPr>
      </w:pPr>
    </w:p>
    <w:p w14:paraId="1DDB4CD7">
      <w:pPr>
        <w:spacing w:line="360" w:lineRule="auto"/>
        <w:rPr>
          <w:rFonts w:ascii="仿宋_GB2312" w:hAnsi="仿宋" w:eastAsia="仿宋_GB2312" w:cs="Times New Roman"/>
          <w:color w:val="000000" w:themeColor="text1"/>
          <w:szCs w:val="21"/>
        </w:rPr>
      </w:pPr>
    </w:p>
    <w:p w14:paraId="783705B4">
      <w:pPr>
        <w:spacing w:line="360" w:lineRule="auto"/>
        <w:rPr>
          <w:rFonts w:ascii="仿宋_GB2312" w:hAnsi="仿宋" w:eastAsia="仿宋_GB2312" w:cs="Times New Roman"/>
          <w:color w:val="000000" w:themeColor="text1"/>
          <w:szCs w:val="21"/>
        </w:rPr>
      </w:pPr>
    </w:p>
    <w:p w14:paraId="3D4D7AF5">
      <w:pPr>
        <w:spacing w:line="360" w:lineRule="auto"/>
        <w:rPr>
          <w:rFonts w:ascii="仿宋_GB2312" w:hAnsi="仿宋" w:eastAsia="仿宋_GB2312" w:cs="Times New Roman"/>
          <w:color w:val="000000" w:themeColor="text1"/>
          <w:szCs w:val="21"/>
        </w:rPr>
      </w:pPr>
    </w:p>
    <w:p w14:paraId="22050A8A">
      <w:pPr>
        <w:spacing w:line="360" w:lineRule="auto"/>
        <w:rPr>
          <w:rFonts w:ascii="仿宋_GB2312" w:hAnsi="仿宋" w:eastAsia="仿宋_GB2312" w:cs="Times New Roman"/>
          <w:color w:val="000000" w:themeColor="text1"/>
          <w:szCs w:val="21"/>
        </w:rPr>
      </w:pPr>
    </w:p>
    <w:p w14:paraId="022AD779">
      <w:pPr>
        <w:spacing w:line="360" w:lineRule="auto"/>
        <w:rPr>
          <w:rFonts w:ascii="仿宋_GB2312" w:hAnsi="仿宋" w:eastAsia="仿宋_GB2312" w:cs="Times New Roman"/>
          <w:color w:val="000000" w:themeColor="text1"/>
          <w:szCs w:val="21"/>
        </w:rPr>
      </w:pPr>
    </w:p>
    <w:p w14:paraId="7508DDF5">
      <w:pPr>
        <w:spacing w:line="360" w:lineRule="auto"/>
        <w:rPr>
          <w:rFonts w:ascii="仿宋_GB2312" w:hAnsi="仿宋" w:eastAsia="仿宋_GB2312" w:cs="Times New Roman"/>
          <w:color w:val="000000" w:themeColor="text1"/>
          <w:szCs w:val="21"/>
        </w:rPr>
      </w:pPr>
    </w:p>
    <w:p w14:paraId="7A308391">
      <w:pPr>
        <w:spacing w:line="360" w:lineRule="auto"/>
        <w:rPr>
          <w:rFonts w:ascii="仿宋_GB2312" w:hAnsi="仿宋" w:eastAsia="仿宋_GB2312" w:cs="Times New Roman"/>
          <w:color w:val="000000" w:themeColor="text1"/>
          <w:szCs w:val="21"/>
        </w:rPr>
      </w:pPr>
    </w:p>
    <w:p w14:paraId="482A0D4C">
      <w:pPr>
        <w:spacing w:line="360" w:lineRule="auto"/>
        <w:rPr>
          <w:rFonts w:ascii="仿宋_GB2312" w:hAnsi="仿宋" w:eastAsia="仿宋_GB2312" w:cs="Times New Roman"/>
          <w:color w:val="000000" w:themeColor="text1"/>
          <w:szCs w:val="21"/>
        </w:rPr>
      </w:pPr>
    </w:p>
    <w:p w14:paraId="5FDB94F1">
      <w:pPr>
        <w:spacing w:line="360" w:lineRule="auto"/>
        <w:rPr>
          <w:rFonts w:ascii="仿宋_GB2312" w:hAnsi="仿宋" w:eastAsia="仿宋_GB2312" w:cs="Times New Roman"/>
          <w:color w:val="000000" w:themeColor="text1"/>
          <w:szCs w:val="21"/>
        </w:rPr>
      </w:pPr>
    </w:p>
    <w:p w14:paraId="3AE9549C">
      <w:pPr>
        <w:spacing w:line="360" w:lineRule="auto"/>
        <w:rPr>
          <w:rFonts w:ascii="仿宋_GB2312" w:hAnsi="仿宋" w:eastAsia="仿宋_GB2312" w:cs="Times New Roman"/>
          <w:color w:val="000000" w:themeColor="text1"/>
          <w:szCs w:val="21"/>
        </w:rPr>
      </w:pPr>
    </w:p>
    <w:p w14:paraId="3B66E39C">
      <w:pPr>
        <w:spacing w:line="360" w:lineRule="auto"/>
        <w:rPr>
          <w:rFonts w:ascii="仿宋_GB2312" w:hAnsi="仿宋" w:eastAsia="仿宋_GB2312" w:cs="Times New Roman"/>
          <w:color w:val="000000" w:themeColor="text1"/>
          <w:szCs w:val="21"/>
        </w:rPr>
      </w:pPr>
    </w:p>
    <w:p w14:paraId="1231D030">
      <w:pPr>
        <w:adjustRightInd w:val="0"/>
        <w:snapToGrid w:val="0"/>
        <w:spacing w:before="312" w:beforeLines="100" w:line="360" w:lineRule="auto"/>
        <w:ind w:right="105" w:rightChars="50"/>
        <w:jc w:val="center"/>
        <w:rPr>
          <w:rFonts w:ascii="仿宋_GB2312" w:hAnsi="仿宋" w:eastAsia="仿宋_GB2312" w:cs="仿宋_GB2312"/>
          <w:b/>
          <w:bCs/>
          <w:color w:val="000000" w:themeColor="text1"/>
          <w:sz w:val="28"/>
          <w:szCs w:val="28"/>
        </w:rPr>
      </w:pPr>
      <w:bookmarkStart w:id="10" w:name="_Toc31555_WPSOffice_Level2"/>
      <w:bookmarkStart w:id="11" w:name="_Toc9235_WPSOffice_Level2"/>
      <w:r>
        <w:rPr>
          <w:rFonts w:hint="eastAsia" w:ascii="仿宋_GB2312" w:hAnsi="仿宋" w:eastAsia="仿宋_GB2312" w:cs="仿宋_GB2312"/>
          <w:b/>
          <w:bCs/>
          <w:color w:val="000000" w:themeColor="text1"/>
          <w:sz w:val="28"/>
          <w:szCs w:val="28"/>
        </w:rPr>
        <w:t>服务需求响应表</w:t>
      </w:r>
      <w:bookmarkEnd w:id="10"/>
      <w:bookmarkEnd w:id="11"/>
    </w:p>
    <w:p w14:paraId="733F6F8B">
      <w:pPr>
        <w:spacing w:line="360" w:lineRule="auto"/>
        <w:rPr>
          <w:rFonts w:ascii="仿宋_GB2312" w:hAnsi="仿宋" w:eastAsia="仿宋_GB2312" w:cs="仿宋"/>
          <w:color w:val="000000" w:themeColor="text1"/>
          <w:szCs w:val="21"/>
        </w:rPr>
      </w:pPr>
      <w:r>
        <w:rPr>
          <w:rFonts w:hint="eastAsia" w:ascii="仿宋_GB2312" w:hAnsi="仿宋" w:eastAsia="仿宋_GB2312" w:cs="仿宋_GB2312"/>
          <w:b/>
          <w:bCs/>
          <w:color w:val="000000" w:themeColor="text1"/>
          <w:szCs w:val="21"/>
          <w:lang w:val="zh-CN" w:bidi="zh-CN"/>
        </w:rPr>
        <w:t>包号：</w:t>
      </w:r>
    </w:p>
    <w:tbl>
      <w:tblPr>
        <w:tblStyle w:val="9"/>
        <w:tblW w:w="9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3"/>
        <w:gridCol w:w="1378"/>
        <w:gridCol w:w="675"/>
        <w:gridCol w:w="637"/>
      </w:tblGrid>
      <w:tr w14:paraId="5EAA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23" w:type="dxa"/>
            <w:tcBorders>
              <w:top w:val="single" w:color="auto" w:sz="4" w:space="0"/>
              <w:left w:val="single" w:color="auto" w:sz="4" w:space="0"/>
              <w:bottom w:val="single" w:color="auto" w:sz="4" w:space="0"/>
              <w:right w:val="single" w:color="auto" w:sz="4" w:space="0"/>
            </w:tcBorders>
            <w:noWrap/>
            <w:vAlign w:val="center"/>
          </w:tcPr>
          <w:p w14:paraId="1D55E1B3">
            <w:pPr>
              <w:spacing w:line="360" w:lineRule="auto"/>
              <w:ind w:hanging="1"/>
              <w:rPr>
                <w:rFonts w:ascii="仿宋_GB2312" w:hAnsi="仿宋" w:eastAsia="仿宋_GB2312" w:cs="仿宋"/>
                <w:b/>
                <w:color w:val="000000" w:themeColor="text1"/>
                <w:szCs w:val="21"/>
              </w:rPr>
            </w:pPr>
            <w:r>
              <w:rPr>
                <w:rFonts w:hint="eastAsia" w:ascii="仿宋_GB2312" w:hAnsi="仿宋" w:eastAsia="仿宋_GB2312" w:cs="仿宋"/>
                <w:b/>
                <w:color w:val="000000" w:themeColor="text1"/>
                <w:szCs w:val="21"/>
              </w:rPr>
              <w:t>重要提示：实质性要求及重要指标用★标注（“★”必须标注在序号前），★标注项不得负偏离，如果负偏离，则响应文件无效。</w:t>
            </w:r>
          </w:p>
        </w:tc>
        <w:tc>
          <w:tcPr>
            <w:tcW w:w="1378" w:type="dxa"/>
            <w:tcBorders>
              <w:top w:val="single" w:color="auto" w:sz="4" w:space="0"/>
              <w:left w:val="single" w:color="auto" w:sz="4" w:space="0"/>
              <w:bottom w:val="single" w:color="auto" w:sz="4" w:space="0"/>
              <w:right w:val="single" w:color="auto" w:sz="4" w:space="0"/>
            </w:tcBorders>
            <w:noWrap/>
            <w:vAlign w:val="center"/>
          </w:tcPr>
          <w:p w14:paraId="31A3462D">
            <w:pPr>
              <w:spacing w:line="360" w:lineRule="auto"/>
              <w:jc w:val="center"/>
              <w:rPr>
                <w:rFonts w:ascii="仿宋_GB2312" w:hAnsi="仿宋" w:eastAsia="仿宋_GB2312" w:cs="仿宋"/>
                <w:color w:val="000000" w:themeColor="text1"/>
                <w:szCs w:val="21"/>
              </w:rPr>
            </w:pPr>
            <w:r>
              <w:rPr>
                <w:rFonts w:hint="eastAsia" w:ascii="仿宋_GB2312" w:hAnsi="仿宋" w:eastAsia="仿宋_GB2312" w:cs="仿宋"/>
                <w:color w:val="000000" w:themeColor="text1"/>
                <w:szCs w:val="21"/>
              </w:rPr>
              <w:t>响应文件</w:t>
            </w:r>
          </w:p>
          <w:p w14:paraId="591FF5C7">
            <w:pPr>
              <w:tabs>
                <w:tab w:val="left" w:pos="0"/>
              </w:tabs>
              <w:spacing w:line="360" w:lineRule="auto"/>
              <w:jc w:val="center"/>
              <w:rPr>
                <w:rFonts w:ascii="仿宋_GB2312" w:hAnsi="仿宋" w:eastAsia="仿宋_GB2312" w:cs="仿宋"/>
                <w:color w:val="000000" w:themeColor="text1"/>
                <w:kern w:val="0"/>
                <w:szCs w:val="21"/>
              </w:rPr>
            </w:pPr>
            <w:r>
              <w:rPr>
                <w:rFonts w:hint="eastAsia" w:ascii="仿宋_GB2312" w:hAnsi="仿宋" w:eastAsia="仿宋_GB2312" w:cs="仿宋"/>
                <w:color w:val="000000" w:themeColor="text1"/>
                <w:szCs w:val="21"/>
              </w:rPr>
              <w:t>响应内容</w:t>
            </w:r>
          </w:p>
        </w:tc>
        <w:tc>
          <w:tcPr>
            <w:tcW w:w="675" w:type="dxa"/>
            <w:tcBorders>
              <w:top w:val="single" w:color="auto" w:sz="4" w:space="0"/>
              <w:left w:val="single" w:color="auto" w:sz="4" w:space="0"/>
              <w:bottom w:val="single" w:color="auto" w:sz="4" w:space="0"/>
              <w:right w:val="single" w:color="auto" w:sz="4" w:space="0"/>
            </w:tcBorders>
            <w:noWrap/>
            <w:vAlign w:val="center"/>
          </w:tcPr>
          <w:p w14:paraId="259AED74">
            <w:pPr>
              <w:tabs>
                <w:tab w:val="left" w:pos="-75"/>
              </w:tabs>
              <w:spacing w:line="360" w:lineRule="auto"/>
              <w:ind w:right="-57" w:rightChars="-27"/>
              <w:jc w:val="center"/>
              <w:rPr>
                <w:rFonts w:ascii="仿宋_GB2312" w:hAnsi="仿宋" w:eastAsia="仿宋_GB2312" w:cs="仿宋"/>
                <w:color w:val="000000" w:themeColor="text1"/>
                <w:kern w:val="0"/>
                <w:szCs w:val="21"/>
              </w:rPr>
            </w:pPr>
            <w:r>
              <w:rPr>
                <w:rFonts w:hint="eastAsia" w:ascii="仿宋_GB2312" w:hAnsi="仿宋" w:eastAsia="仿宋_GB2312" w:cs="仿宋"/>
                <w:color w:val="000000" w:themeColor="text1"/>
                <w:szCs w:val="21"/>
              </w:rPr>
              <w:t>偏离程度</w:t>
            </w:r>
          </w:p>
        </w:tc>
        <w:tc>
          <w:tcPr>
            <w:tcW w:w="637" w:type="dxa"/>
            <w:tcBorders>
              <w:top w:val="single" w:color="auto" w:sz="4" w:space="0"/>
              <w:left w:val="single" w:color="auto" w:sz="4" w:space="0"/>
              <w:bottom w:val="single" w:color="auto" w:sz="4" w:space="0"/>
              <w:right w:val="single" w:color="auto" w:sz="4" w:space="0"/>
            </w:tcBorders>
            <w:noWrap/>
            <w:vAlign w:val="center"/>
          </w:tcPr>
          <w:p w14:paraId="09F10C41">
            <w:pPr>
              <w:tabs>
                <w:tab w:val="left" w:pos="-75"/>
              </w:tabs>
              <w:spacing w:line="360" w:lineRule="auto"/>
              <w:ind w:right="-57" w:rightChars="-27"/>
              <w:jc w:val="center"/>
              <w:rPr>
                <w:rFonts w:ascii="仿宋_GB2312" w:hAnsi="仿宋" w:eastAsia="仿宋_GB2312" w:cs="仿宋"/>
                <w:color w:val="000000" w:themeColor="text1"/>
                <w:kern w:val="0"/>
                <w:szCs w:val="21"/>
              </w:rPr>
            </w:pPr>
            <w:r>
              <w:rPr>
                <w:rFonts w:hint="eastAsia" w:ascii="仿宋_GB2312" w:hAnsi="仿宋" w:eastAsia="仿宋_GB2312" w:cs="仿宋"/>
                <w:color w:val="000000" w:themeColor="text1"/>
                <w:szCs w:val="21"/>
              </w:rPr>
              <w:t>偏离说明</w:t>
            </w:r>
          </w:p>
        </w:tc>
      </w:tr>
      <w:tr w14:paraId="0AD9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23" w:type="dxa"/>
            <w:tcBorders>
              <w:top w:val="single" w:color="auto" w:sz="4" w:space="0"/>
              <w:left w:val="single" w:color="auto" w:sz="4" w:space="0"/>
              <w:bottom w:val="single" w:color="auto" w:sz="4" w:space="0"/>
              <w:right w:val="single" w:color="auto" w:sz="4" w:space="0"/>
            </w:tcBorders>
            <w:noWrap/>
            <w:vAlign w:val="center"/>
          </w:tcPr>
          <w:p w14:paraId="311147DD">
            <w:pPr>
              <w:spacing w:line="360" w:lineRule="auto"/>
              <w:jc w:val="left"/>
              <w:rPr>
                <w:rFonts w:ascii="仿宋_GB2312" w:hAnsi="仿宋" w:eastAsia="仿宋_GB2312" w:cs="仿宋"/>
                <w:b/>
                <w:bCs/>
                <w:color w:val="000000" w:themeColor="text1"/>
                <w:szCs w:val="21"/>
              </w:rPr>
            </w:pPr>
            <w:r>
              <w:rPr>
                <w:rFonts w:hint="eastAsia" w:ascii="仿宋_GB2312" w:hAnsi="仿宋" w:eastAsia="仿宋_GB2312" w:cs="仿宋"/>
                <w:b/>
                <w:bCs/>
                <w:color w:val="000000" w:themeColor="text1"/>
                <w:szCs w:val="21"/>
              </w:rPr>
              <w:t>★服务范围</w:t>
            </w:r>
          </w:p>
          <w:p w14:paraId="1A2C8983">
            <w:pPr>
              <w:spacing w:line="360" w:lineRule="auto"/>
              <w:ind w:firstLine="210" w:firstLineChars="100"/>
              <w:jc w:val="left"/>
              <w:rPr>
                <w:rFonts w:ascii="仿宋_GB2312" w:hAnsi="仿宋" w:eastAsia="仿宋_GB2312" w:cs="仿宋"/>
                <w:color w:val="000000" w:themeColor="text1"/>
                <w:szCs w:val="21"/>
              </w:rPr>
            </w:pPr>
            <w:r>
              <w:rPr>
                <w:rFonts w:hint="eastAsia" w:ascii="仿宋_GB2312" w:hAnsi="仿宋" w:eastAsia="仿宋_GB2312" w:cs="Times New Roman"/>
                <w:color w:val="000000" w:themeColor="text1"/>
                <w:szCs w:val="21"/>
              </w:rPr>
              <w:t>食堂经营管理（含食材清洗、加工、烹饪，符合食品安全操作规范，运营管理规范）、卫生管理（食堂后厨、就餐区、储物区每日清洁，每周深度消杀）、人员管理（包含“妈妈职工”）、设备设施管理（含维护、维修，燃气、煤油、水、电费支出等）</w:t>
            </w:r>
          </w:p>
        </w:tc>
        <w:tc>
          <w:tcPr>
            <w:tcW w:w="1378" w:type="dxa"/>
            <w:tcBorders>
              <w:top w:val="single" w:color="auto" w:sz="4" w:space="0"/>
              <w:left w:val="single" w:color="auto" w:sz="4" w:space="0"/>
              <w:bottom w:val="single" w:color="auto" w:sz="4" w:space="0"/>
              <w:right w:val="single" w:color="auto" w:sz="4" w:space="0"/>
            </w:tcBorders>
            <w:noWrap/>
            <w:vAlign w:val="center"/>
          </w:tcPr>
          <w:p w14:paraId="3FB82AD4">
            <w:pPr>
              <w:tabs>
                <w:tab w:val="left" w:pos="0"/>
              </w:tabs>
              <w:spacing w:line="360" w:lineRule="auto"/>
              <w:jc w:val="center"/>
              <w:rPr>
                <w:rFonts w:ascii="仿宋_GB2312" w:hAnsi="仿宋" w:eastAsia="仿宋_GB2312" w:cs="仿宋"/>
                <w:color w:val="000000" w:themeColor="text1"/>
                <w:szCs w:val="21"/>
              </w:rPr>
            </w:pPr>
          </w:p>
        </w:tc>
        <w:tc>
          <w:tcPr>
            <w:tcW w:w="675" w:type="dxa"/>
            <w:tcBorders>
              <w:top w:val="single" w:color="auto" w:sz="4" w:space="0"/>
              <w:left w:val="single" w:color="auto" w:sz="4" w:space="0"/>
              <w:bottom w:val="single" w:color="auto" w:sz="4" w:space="0"/>
              <w:right w:val="single" w:color="auto" w:sz="4" w:space="0"/>
            </w:tcBorders>
            <w:noWrap/>
            <w:vAlign w:val="center"/>
          </w:tcPr>
          <w:p w14:paraId="3B3B1A88">
            <w:pPr>
              <w:tabs>
                <w:tab w:val="left" w:pos="-75"/>
              </w:tabs>
              <w:spacing w:line="360" w:lineRule="auto"/>
              <w:ind w:right="-57" w:rightChars="-27"/>
              <w:jc w:val="center"/>
              <w:rPr>
                <w:rFonts w:ascii="仿宋_GB2312" w:hAnsi="仿宋" w:eastAsia="仿宋_GB2312" w:cs="仿宋"/>
                <w:color w:val="000000" w:themeColor="text1"/>
                <w:szCs w:val="21"/>
              </w:rPr>
            </w:pPr>
          </w:p>
        </w:tc>
        <w:tc>
          <w:tcPr>
            <w:tcW w:w="637" w:type="dxa"/>
            <w:tcBorders>
              <w:top w:val="single" w:color="auto" w:sz="4" w:space="0"/>
              <w:left w:val="single" w:color="auto" w:sz="4" w:space="0"/>
              <w:bottom w:val="single" w:color="auto" w:sz="4" w:space="0"/>
              <w:right w:val="single" w:color="auto" w:sz="4" w:space="0"/>
            </w:tcBorders>
            <w:noWrap/>
            <w:vAlign w:val="center"/>
          </w:tcPr>
          <w:p w14:paraId="15CAD6C5">
            <w:pPr>
              <w:tabs>
                <w:tab w:val="left" w:pos="-75"/>
              </w:tabs>
              <w:spacing w:line="360" w:lineRule="auto"/>
              <w:ind w:right="-57" w:rightChars="-27"/>
              <w:jc w:val="center"/>
              <w:rPr>
                <w:rFonts w:ascii="仿宋_GB2312" w:hAnsi="仿宋" w:eastAsia="仿宋_GB2312" w:cs="仿宋"/>
                <w:color w:val="000000" w:themeColor="text1"/>
                <w:szCs w:val="21"/>
              </w:rPr>
            </w:pPr>
          </w:p>
        </w:tc>
      </w:tr>
      <w:tr w14:paraId="59F9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323" w:type="dxa"/>
            <w:tcBorders>
              <w:top w:val="single" w:color="auto" w:sz="4" w:space="0"/>
              <w:left w:val="single" w:color="auto" w:sz="4" w:space="0"/>
              <w:bottom w:val="single" w:color="auto" w:sz="4" w:space="0"/>
              <w:right w:val="single" w:color="auto" w:sz="4" w:space="0"/>
            </w:tcBorders>
            <w:noWrap/>
            <w:vAlign w:val="center"/>
          </w:tcPr>
          <w:p w14:paraId="4F2630FD">
            <w:pPr>
              <w:spacing w:line="360" w:lineRule="auto"/>
              <w:jc w:val="left"/>
              <w:rPr>
                <w:rFonts w:ascii="仿宋_GB2312" w:hAnsi="仿宋" w:eastAsia="仿宋_GB2312" w:cs="仿宋"/>
                <w:b/>
                <w:bCs/>
                <w:color w:val="000000" w:themeColor="text1"/>
                <w:szCs w:val="21"/>
              </w:rPr>
            </w:pPr>
            <w:r>
              <w:rPr>
                <w:rFonts w:hint="eastAsia" w:ascii="仿宋_GB2312" w:hAnsi="仿宋" w:eastAsia="仿宋_GB2312" w:cs="仿宋"/>
                <w:b/>
                <w:bCs/>
                <w:color w:val="000000" w:themeColor="text1"/>
                <w:szCs w:val="21"/>
              </w:rPr>
              <w:t>★服务地点</w:t>
            </w:r>
          </w:p>
          <w:p w14:paraId="5DD220CE">
            <w:pPr>
              <w:spacing w:line="360" w:lineRule="auto"/>
              <w:ind w:firstLine="210" w:firstLineChars="100"/>
              <w:jc w:val="left"/>
              <w:rPr>
                <w:rFonts w:ascii="仿宋_GB2312" w:hAnsi="仿宋" w:eastAsia="仿宋_GB2312" w:cs="仿宋"/>
                <w:color w:val="000000" w:themeColor="text1"/>
                <w:szCs w:val="21"/>
              </w:rPr>
            </w:pPr>
            <w:r>
              <w:rPr>
                <w:rFonts w:hint="eastAsia" w:ascii="仿宋_GB2312" w:hAnsi="仿宋" w:eastAsia="仿宋_GB2312" w:cs="Times New Roman"/>
                <w:color w:val="000000" w:themeColor="text1"/>
                <w:szCs w:val="21"/>
              </w:rPr>
              <w:t>采购人指定地点</w:t>
            </w:r>
          </w:p>
        </w:tc>
        <w:tc>
          <w:tcPr>
            <w:tcW w:w="1378" w:type="dxa"/>
            <w:tcBorders>
              <w:top w:val="single" w:color="auto" w:sz="4" w:space="0"/>
              <w:left w:val="single" w:color="auto" w:sz="4" w:space="0"/>
              <w:bottom w:val="single" w:color="auto" w:sz="4" w:space="0"/>
              <w:right w:val="single" w:color="auto" w:sz="4" w:space="0"/>
            </w:tcBorders>
            <w:noWrap/>
            <w:vAlign w:val="center"/>
          </w:tcPr>
          <w:p w14:paraId="0034BC1D">
            <w:pPr>
              <w:tabs>
                <w:tab w:val="left" w:pos="0"/>
              </w:tabs>
              <w:adjustRightInd w:val="0"/>
              <w:snapToGrid w:val="0"/>
              <w:spacing w:line="360" w:lineRule="auto"/>
              <w:jc w:val="center"/>
              <w:rPr>
                <w:rFonts w:ascii="仿宋_GB2312" w:hAnsi="仿宋" w:eastAsia="仿宋_GB2312" w:cs="仿宋"/>
                <w:color w:val="000000" w:themeColor="text1"/>
                <w:kern w:val="0"/>
                <w:szCs w:val="21"/>
              </w:rPr>
            </w:pPr>
          </w:p>
        </w:tc>
        <w:tc>
          <w:tcPr>
            <w:tcW w:w="675" w:type="dxa"/>
            <w:tcBorders>
              <w:top w:val="single" w:color="auto" w:sz="4" w:space="0"/>
              <w:left w:val="single" w:color="auto" w:sz="4" w:space="0"/>
              <w:bottom w:val="single" w:color="auto" w:sz="4" w:space="0"/>
              <w:right w:val="single" w:color="auto" w:sz="4" w:space="0"/>
            </w:tcBorders>
            <w:noWrap/>
            <w:vAlign w:val="center"/>
          </w:tcPr>
          <w:p w14:paraId="1120A2E4">
            <w:pPr>
              <w:tabs>
                <w:tab w:val="left" w:pos="-75"/>
              </w:tabs>
              <w:spacing w:line="360" w:lineRule="auto"/>
              <w:ind w:right="-57" w:rightChars="-27"/>
              <w:jc w:val="center"/>
              <w:rPr>
                <w:rFonts w:ascii="仿宋_GB2312" w:hAnsi="仿宋" w:eastAsia="仿宋_GB2312" w:cs="仿宋"/>
                <w:color w:val="000000" w:themeColor="text1"/>
                <w:kern w:val="0"/>
                <w:szCs w:val="21"/>
              </w:rPr>
            </w:pPr>
          </w:p>
        </w:tc>
        <w:tc>
          <w:tcPr>
            <w:tcW w:w="637" w:type="dxa"/>
            <w:tcBorders>
              <w:top w:val="single" w:color="auto" w:sz="4" w:space="0"/>
              <w:left w:val="single" w:color="auto" w:sz="4" w:space="0"/>
              <w:bottom w:val="single" w:color="auto" w:sz="4" w:space="0"/>
              <w:right w:val="single" w:color="auto" w:sz="4" w:space="0"/>
            </w:tcBorders>
            <w:noWrap/>
            <w:vAlign w:val="center"/>
          </w:tcPr>
          <w:p w14:paraId="42BFE1A9">
            <w:pPr>
              <w:tabs>
                <w:tab w:val="left" w:pos="-75"/>
              </w:tabs>
              <w:spacing w:line="360" w:lineRule="auto"/>
              <w:ind w:right="-57" w:rightChars="-27"/>
              <w:jc w:val="center"/>
              <w:rPr>
                <w:rFonts w:ascii="仿宋_GB2312" w:hAnsi="仿宋" w:eastAsia="仿宋_GB2312" w:cs="仿宋"/>
                <w:color w:val="000000" w:themeColor="text1"/>
                <w:kern w:val="0"/>
                <w:szCs w:val="21"/>
              </w:rPr>
            </w:pPr>
          </w:p>
        </w:tc>
      </w:tr>
      <w:tr w14:paraId="7BF8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323" w:type="dxa"/>
            <w:tcBorders>
              <w:top w:val="single" w:color="auto" w:sz="4" w:space="0"/>
              <w:left w:val="single" w:color="auto" w:sz="4" w:space="0"/>
              <w:bottom w:val="single" w:color="auto" w:sz="4" w:space="0"/>
              <w:right w:val="single" w:color="auto" w:sz="4" w:space="0"/>
            </w:tcBorders>
            <w:noWrap/>
            <w:vAlign w:val="center"/>
          </w:tcPr>
          <w:p w14:paraId="4AC649F1">
            <w:pPr>
              <w:spacing w:line="360" w:lineRule="auto"/>
              <w:jc w:val="left"/>
              <w:rPr>
                <w:rFonts w:ascii="仿宋_GB2312" w:hAnsi="仿宋" w:eastAsia="仿宋_GB2312" w:cs="Times New Roman"/>
                <w:color w:val="000000" w:themeColor="text1"/>
                <w:szCs w:val="21"/>
              </w:rPr>
            </w:pPr>
            <w:r>
              <w:rPr>
                <w:rFonts w:hint="eastAsia" w:ascii="仿宋_GB2312" w:hAnsi="仿宋" w:eastAsia="仿宋_GB2312" w:cs="Times New Roman"/>
                <w:color w:val="000000" w:themeColor="text1"/>
                <w:szCs w:val="21"/>
              </w:rPr>
              <w:t>★</w:t>
            </w:r>
            <w:r>
              <w:rPr>
                <w:rFonts w:hint="eastAsia" w:ascii="仿宋_GB2312" w:hAnsi="仿宋" w:eastAsia="仿宋_GB2312" w:cs="仿宋"/>
                <w:b/>
                <w:bCs/>
                <w:color w:val="000000" w:themeColor="text1"/>
                <w:szCs w:val="21"/>
              </w:rPr>
              <w:t>服务要求</w:t>
            </w:r>
          </w:p>
          <w:p w14:paraId="67D25C79">
            <w:pPr>
              <w:pStyle w:val="13"/>
              <w:spacing w:line="360" w:lineRule="auto"/>
              <w:ind w:firstLine="210" w:firstLineChars="100"/>
              <w:rPr>
                <w:rFonts w:hint="default" w:ascii="仿宋_GB2312" w:hAnsi="仿宋" w:eastAsia="仿宋_GB2312"/>
                <w:color w:val="000000" w:themeColor="text1"/>
                <w:sz w:val="21"/>
                <w:szCs w:val="21"/>
              </w:rPr>
            </w:pPr>
            <w:r>
              <w:rPr>
                <w:rFonts w:ascii="仿宋_GB2312" w:hAnsi="仿宋" w:eastAsia="仿宋_GB2312" w:cs="Times New Roman"/>
                <w:color w:val="000000" w:themeColor="text1"/>
                <w:sz w:val="21"/>
                <w:szCs w:val="21"/>
              </w:rPr>
              <w:t xml:space="preserve">供应商须按学校实际就餐人数配备专业人员，厨师需持中级及以上厨师证，杂工、保洁等人员需经专业培训并取得合格证书；所有人员持有效健康证上岗，健康证到期前15日内复检，供应商每月提交健康证台账，学校核实后报市、县（区）教育局备案。落实“妈妈职工”机制，由供应商预留人员份额。学校每学年开学前15日公示招聘信息（含岗位、职责、工作时间、薪资），采购期不少于7天；由学校后勤负责人、家长及教师代表组成评选小组，优先选有餐饮经验、责任心强的家长，”妈妈职工”名额不低于服务团队的10%，录用后公示3天接受监督。中选后对所服务的学校购买足额的食品安全责任险。    </w:t>
            </w:r>
          </w:p>
        </w:tc>
        <w:tc>
          <w:tcPr>
            <w:tcW w:w="1378" w:type="dxa"/>
            <w:tcBorders>
              <w:top w:val="single" w:color="auto" w:sz="4" w:space="0"/>
              <w:left w:val="single" w:color="auto" w:sz="4" w:space="0"/>
              <w:bottom w:val="single" w:color="auto" w:sz="4" w:space="0"/>
              <w:right w:val="single" w:color="auto" w:sz="4" w:space="0"/>
            </w:tcBorders>
            <w:noWrap/>
            <w:vAlign w:val="center"/>
          </w:tcPr>
          <w:p w14:paraId="42F04B76">
            <w:pPr>
              <w:tabs>
                <w:tab w:val="left" w:pos="0"/>
              </w:tabs>
              <w:adjustRightInd w:val="0"/>
              <w:snapToGrid w:val="0"/>
              <w:spacing w:line="360" w:lineRule="auto"/>
              <w:jc w:val="center"/>
              <w:rPr>
                <w:rFonts w:ascii="仿宋_GB2312" w:hAnsi="仿宋" w:eastAsia="仿宋_GB2312" w:cs="仿宋"/>
                <w:color w:val="000000" w:themeColor="text1"/>
                <w:kern w:val="0"/>
                <w:szCs w:val="21"/>
              </w:rPr>
            </w:pPr>
          </w:p>
        </w:tc>
        <w:tc>
          <w:tcPr>
            <w:tcW w:w="675" w:type="dxa"/>
            <w:tcBorders>
              <w:top w:val="single" w:color="auto" w:sz="4" w:space="0"/>
              <w:left w:val="single" w:color="auto" w:sz="4" w:space="0"/>
              <w:bottom w:val="single" w:color="auto" w:sz="4" w:space="0"/>
              <w:right w:val="single" w:color="auto" w:sz="4" w:space="0"/>
            </w:tcBorders>
            <w:noWrap/>
            <w:vAlign w:val="center"/>
          </w:tcPr>
          <w:p w14:paraId="34504BE8">
            <w:pPr>
              <w:tabs>
                <w:tab w:val="left" w:pos="-75"/>
              </w:tabs>
              <w:spacing w:line="360" w:lineRule="auto"/>
              <w:ind w:right="-57" w:rightChars="-27"/>
              <w:jc w:val="center"/>
              <w:rPr>
                <w:rFonts w:ascii="仿宋_GB2312" w:hAnsi="仿宋" w:eastAsia="仿宋_GB2312" w:cs="仿宋"/>
                <w:color w:val="000000" w:themeColor="text1"/>
                <w:kern w:val="0"/>
                <w:szCs w:val="21"/>
              </w:rPr>
            </w:pPr>
          </w:p>
        </w:tc>
        <w:tc>
          <w:tcPr>
            <w:tcW w:w="637" w:type="dxa"/>
            <w:tcBorders>
              <w:top w:val="single" w:color="auto" w:sz="4" w:space="0"/>
              <w:left w:val="single" w:color="auto" w:sz="4" w:space="0"/>
              <w:bottom w:val="single" w:color="auto" w:sz="4" w:space="0"/>
              <w:right w:val="single" w:color="auto" w:sz="4" w:space="0"/>
            </w:tcBorders>
            <w:noWrap/>
            <w:vAlign w:val="center"/>
          </w:tcPr>
          <w:p w14:paraId="1E6562CE">
            <w:pPr>
              <w:tabs>
                <w:tab w:val="left" w:pos="-75"/>
              </w:tabs>
              <w:spacing w:line="360" w:lineRule="auto"/>
              <w:ind w:right="-57" w:rightChars="-27"/>
              <w:jc w:val="center"/>
              <w:rPr>
                <w:rFonts w:ascii="仿宋_GB2312" w:hAnsi="仿宋" w:eastAsia="仿宋_GB2312" w:cs="仿宋"/>
                <w:color w:val="000000" w:themeColor="text1"/>
                <w:kern w:val="0"/>
                <w:szCs w:val="21"/>
              </w:rPr>
            </w:pPr>
          </w:p>
        </w:tc>
      </w:tr>
      <w:tr w14:paraId="4F3E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323" w:type="dxa"/>
            <w:tcBorders>
              <w:top w:val="single" w:color="auto" w:sz="4" w:space="0"/>
              <w:left w:val="single" w:color="auto" w:sz="4" w:space="0"/>
              <w:bottom w:val="single" w:color="auto" w:sz="4" w:space="0"/>
              <w:right w:val="single" w:color="auto" w:sz="4" w:space="0"/>
            </w:tcBorders>
            <w:noWrap/>
            <w:vAlign w:val="center"/>
          </w:tcPr>
          <w:p w14:paraId="42CAF94D">
            <w:pPr>
              <w:adjustRightInd w:val="0"/>
              <w:snapToGrid w:val="0"/>
              <w:spacing w:line="360" w:lineRule="auto"/>
              <w:ind w:hanging="1"/>
              <w:jc w:val="left"/>
              <w:rPr>
                <w:rFonts w:ascii="仿宋_GB2312" w:hAnsi="仿宋" w:eastAsia="仿宋_GB2312" w:cs="仿宋"/>
                <w:b/>
                <w:color w:val="000000" w:themeColor="text1"/>
                <w:szCs w:val="21"/>
              </w:rPr>
            </w:pPr>
            <w:r>
              <w:rPr>
                <w:rFonts w:hint="eastAsia" w:ascii="仿宋_GB2312" w:hAnsi="仿宋" w:eastAsia="仿宋_GB2312" w:cs="仿宋"/>
                <w:b/>
                <w:color w:val="000000" w:themeColor="text1"/>
                <w:szCs w:val="21"/>
              </w:rPr>
              <w:t>★</w:t>
            </w:r>
            <w:r>
              <w:rPr>
                <w:rFonts w:hint="eastAsia" w:ascii="仿宋_GB2312" w:hAnsi="仿宋" w:eastAsia="仿宋_GB2312" w:cs="仿宋"/>
                <w:b/>
                <w:bCs/>
                <w:color w:val="000000" w:themeColor="text1"/>
                <w:szCs w:val="21"/>
              </w:rPr>
              <w:t>岗位职责要求</w:t>
            </w:r>
          </w:p>
          <w:p w14:paraId="0C1A9228">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Times New Roman"/>
                <w:color w:val="000000" w:themeColor="text1"/>
                <w:kern w:val="0"/>
                <w:szCs w:val="21"/>
              </w:rPr>
              <w:t>（</w:t>
            </w:r>
            <w:r>
              <w:rPr>
                <w:rFonts w:hint="eastAsia" w:ascii="仿宋_GB2312" w:hAnsi="仿宋" w:eastAsia="仿宋_GB2312" w:cs="仿宋"/>
                <w:color w:val="000000" w:themeColor="text1"/>
                <w:szCs w:val="21"/>
                <w:lang w:val="zh-CN" w:bidi="zh-CN"/>
              </w:rPr>
              <w:t>一）食堂经理</w:t>
            </w:r>
          </w:p>
          <w:p w14:paraId="103F7AD2">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1. 统筹管理：确保食品安全。全面负责食堂日常运营管理，制定工作计划与目标，合理调配人力、物力资源，保障食堂高效运转，确保为师生提供安全、优质、稳定的餐饮服务及时反馈并处理采购人提出的建议及要求。</w:t>
            </w:r>
          </w:p>
          <w:p w14:paraId="226C47F2">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2. 食品安全把控：严格落实食品安全管理制度，监督食材供应商提供的所有食材的质量安全（并做好交接、留痕，索票、溯源等工作）、储存、加工、售卖全流程，定期检查食品质量与卫生状况，确保符合国家食品安全标准，杜绝食品安全事故发生。</w:t>
            </w:r>
          </w:p>
          <w:p w14:paraId="407382BC">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3. 成本控制：负责食堂成本控制，合理制定菜谱（周或天）及菜品价格，监控食材消耗，优化采购渠道，减少浪费。</w:t>
            </w:r>
          </w:p>
          <w:p w14:paraId="079484F8">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4. 团队建设与培训：组织食堂员工开展技能培训与安全教育，提升员工业务水平与安全意识；加强团队文化建设，营造良好工作氛围，提高团队凝聚力与工作效率协助采购人收集、整理员工身份信息，办理必要手续。</w:t>
            </w:r>
          </w:p>
          <w:p w14:paraId="63C53EA8">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5. 沟通协调：与采购人相关部门、师生保持密切沟通，及时了解师生餐饮需求与反馈意见，积极改进服务质量；协调处理食堂与外部单位的业务往来及</w:t>
            </w:r>
          </w:p>
          <w:p w14:paraId="3F954219">
            <w:pPr>
              <w:pageBreakBefore/>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合作事宜。</w:t>
            </w:r>
          </w:p>
          <w:p w14:paraId="26812603">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6. 应急处理：制定食堂食品安全、火灾等应急预案，组织应急演练；在突发事件发生时，迅速启动预案，妥善处理，降低事件影响并做好善后工作。</w:t>
            </w:r>
          </w:p>
          <w:p w14:paraId="6FF1031F">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（二）办公室内勤</w:t>
            </w:r>
          </w:p>
          <w:p w14:paraId="0FFEDCD9">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1. 统计管理：统计管理收入支出账目、票据等，及时核对账目，确保账目准确无误。</w:t>
            </w:r>
          </w:p>
          <w:p w14:paraId="3EB5858C">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2. 服务师生：热情、耐心接待就餐师生，解答师生关于价格、菜品等方面的疑问；维护取餐窗口秩序，引导师生有序排队就餐，避免拥挤、混乱。</w:t>
            </w:r>
          </w:p>
          <w:p w14:paraId="69D10ACB">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3. 系统维护：负责收银设备日常保养，如出现故障及时报修，并做好故障期间手工收银记录；定期与采购人财务部门核对账目，确保数据准确无误。</w:t>
            </w:r>
          </w:p>
          <w:p w14:paraId="7231533D">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4. 账目管理：严格遵守财务制度，严禁私自更改菜品价格；对异常消费情况及时上报，防止出现财务漏洞。</w:t>
            </w:r>
          </w:p>
          <w:p w14:paraId="711AF168">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5. 信息反馈：收集师生对食堂价格、服务等方面的意见与建议，及时反馈给食堂主管，以便改进工作。</w:t>
            </w:r>
          </w:p>
          <w:p w14:paraId="7731DB4B">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6.查验货管理：做好日常查验货工作，确保食材新鲜、无腐烂、变质、临期、过期食材进入食堂，禁止与供货商私自接触来往。</w:t>
            </w:r>
          </w:p>
          <w:p w14:paraId="482AAF42">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7.材料：材料统计、留存及软件录入，确保食堂运营环节有据可查。</w:t>
            </w:r>
          </w:p>
          <w:p w14:paraId="51600ECD">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8.留样及试餐环节：师生就餐前30分钟进行留样和试餐，确保师生食品安全。</w:t>
            </w:r>
          </w:p>
          <w:p w14:paraId="13B4075C">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（三）库管</w:t>
            </w:r>
          </w:p>
          <w:p w14:paraId="01226969">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1. 入库管理：核对耗材数量、规格、质量、保质期，登记台账，不合格品拒收。</w:t>
            </w:r>
          </w:p>
          <w:p w14:paraId="1AE8FFD3">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2. 存储管理：按品类要求分区存放，定期检查防虫鼠。</w:t>
            </w:r>
          </w:p>
          <w:p w14:paraId="22905605">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3. 库存管控：定期盘点，记录损耗，预警缺货，提出采购建议，避免积压。</w:t>
            </w:r>
          </w:p>
          <w:p w14:paraId="573A5607">
            <w:pPr>
              <w:pageBreakBefore/>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4. 出库管理：按规定领取，核对数量，确保账物相符。</w:t>
            </w:r>
          </w:p>
          <w:p w14:paraId="63B20BFE">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5.卫生：保持库房整洁。</w:t>
            </w:r>
          </w:p>
          <w:p w14:paraId="01189AA9">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6.库房管理软件操作：登记出入库明细，留存采购票据。</w:t>
            </w:r>
          </w:p>
          <w:p w14:paraId="531FD3BF">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（四）厨师</w:t>
            </w:r>
          </w:p>
          <w:p w14:paraId="1B8F5779">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1. 菜品制作：严格按照烹饪规范与食谱要求，精心制作各类菜品，确保色、香、味、形俱佳，满足师生口味需求；根据季节变化和师生反馈，创新菜品，丰富食堂菜谱。</w:t>
            </w:r>
          </w:p>
          <w:p w14:paraId="59B3EBDE">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2. 食材管理：合理计划食材领用，严格执行食材验收标准，对变质、过期食材及时上报处理；妥善保管未加工食材，防止浪费与变质。</w:t>
            </w:r>
          </w:p>
          <w:p w14:paraId="4EE5FD56">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3. 设备使用与维护：正确操作、使用厨房设备，定期进行清洁与保养，发现设备故障及时报修，确保设备正常运行；遵守安全操作规程，防止发生安全事故。</w:t>
            </w:r>
          </w:p>
          <w:p w14:paraId="5B59B2DC">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4. 卫生管理：负责操作区域环境卫生，保持灶台、案板、厨具等清洁，做到工完场清；严格遵守食品卫生制度，穿戴工作服、帽、口罩，防止食品污染。</w:t>
            </w:r>
          </w:p>
          <w:p w14:paraId="2846BC8F">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5. 协助工作：配合食堂主管完成其他相关工作，如参与食堂成本控制、提供菜品改进建议等。</w:t>
            </w:r>
          </w:p>
          <w:p w14:paraId="1F126FD6">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（五）切配</w:t>
            </w:r>
          </w:p>
          <w:p w14:paraId="44237FCB">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1. 食材预处理：负责食材的清洗、择选、削皮、切配等预处理工作，确保食材干净、卫生，符合加工要求；按照菜品制作需求，合理控制食材切配规格与数量。</w:t>
            </w:r>
          </w:p>
          <w:p w14:paraId="2DE66E1B">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2. 辅助烹饪：协助厨师进行菜品烹饪，如准备调料、添加食材、翻炒菜品等，保障烹饪过程顺利进行；学习烹饪技巧，不断提升自身业务能力。</w:t>
            </w:r>
          </w:p>
          <w:p w14:paraId="553AB07F">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3. 餐具清洗：及时清洗、消毒食堂餐具、厨具及容器，分类存放，确保餐</w:t>
            </w:r>
          </w:p>
          <w:p w14:paraId="2B4FE760">
            <w:pPr>
              <w:pageBreakBefore/>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具洁净、无油污；定期检查餐具损耗情况，及时补充、更换破损餐具。</w:t>
            </w:r>
          </w:p>
          <w:p w14:paraId="2FC5873B">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4. 环境卫生：保持工作区域清洁卫生，及时清理厨余垃圾，定期对操作台、地面、墙面等进行清洁消毒，防止细菌滋生。</w:t>
            </w:r>
          </w:p>
          <w:p w14:paraId="5C2DC915">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5.餐具清洗消毒：严格按照“一刮、二洗、三冲、四消毒、五保洁”的标准流程，对食堂使用后的餐具、炊具及盛放直接入口食品的容器进行清洗。使用专用洗涤剂去除油污、残渣，确保无食物残留。</w:t>
            </w:r>
          </w:p>
          <w:p w14:paraId="1521BF76">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6.科学消毒操作：根据餐具材质和数量，选择合适的消毒方式，确保消毒效果达标，有效杀灭细菌、病毒等病原体。</w:t>
            </w:r>
          </w:p>
          <w:p w14:paraId="255BFA99">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7. 消毒记录管理：认真填写餐具消毒记录，详细记录消毒时间、消毒方式、餐具种类及数量等信息，做到有据可查，便于食堂管理人员监督检查，确保消毒工作规范、可追溯。</w:t>
            </w:r>
          </w:p>
          <w:p w14:paraId="52D11A69">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8. 服从安排：听从学校食堂主管工作安排，积极完成临时交办的各项任务，配合其他岗位员工工作。</w:t>
            </w:r>
          </w:p>
          <w:p w14:paraId="433EB830">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（六）保洁员</w:t>
            </w:r>
          </w:p>
          <w:p w14:paraId="73F5AAD1">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1. 环境卫生清扫：每日对食堂就餐区、操作区、厨房、走廊等区域进行全面清扫，包括地面、墙面、桌椅、门窗等，做到无灰尘、无污渍、无杂物；定期对食堂进行深度清洁，如擦拭天花板、清洗排风扇等。</w:t>
            </w:r>
          </w:p>
          <w:p w14:paraId="3AF45A0B">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2. 垃圾处理：及时清理食堂内产生的垃圾，分类收集，定期清运；保持垃圾桶、垃圾存放点清洁卫生，防止异味散发与蚊虫滋生。</w:t>
            </w:r>
          </w:p>
          <w:p w14:paraId="55B584EF">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3. 消毒工作：按照卫生标准，定期对食堂就餐区、餐具存放区等进行消毒处理，如使用消毒水擦拭桌椅、喷洒消毒空气等，保障师生就餐环境安全卫生。</w:t>
            </w:r>
          </w:p>
          <w:p w14:paraId="0328CEE9">
            <w:pPr>
              <w:spacing w:line="360" w:lineRule="auto"/>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4. 设施维护：爱护食堂公共设施，发现损坏及时上报；协助食堂其他岗位员工做好环境卫生相关工作，如在就餐高峰期及时清理餐桌残留食物。</w:t>
            </w:r>
          </w:p>
        </w:tc>
        <w:tc>
          <w:tcPr>
            <w:tcW w:w="1378" w:type="dxa"/>
            <w:tcBorders>
              <w:top w:val="single" w:color="auto" w:sz="4" w:space="0"/>
              <w:left w:val="single" w:color="auto" w:sz="4" w:space="0"/>
              <w:bottom w:val="single" w:color="auto" w:sz="4" w:space="0"/>
              <w:right w:val="single" w:color="auto" w:sz="4" w:space="0"/>
            </w:tcBorders>
            <w:noWrap/>
            <w:vAlign w:val="center"/>
          </w:tcPr>
          <w:p w14:paraId="6FEE8BAD">
            <w:pPr>
              <w:tabs>
                <w:tab w:val="left" w:pos="0"/>
              </w:tabs>
              <w:adjustRightInd w:val="0"/>
              <w:snapToGrid w:val="0"/>
              <w:spacing w:line="360" w:lineRule="auto"/>
              <w:jc w:val="center"/>
              <w:rPr>
                <w:rFonts w:ascii="仿宋_GB2312" w:hAnsi="仿宋" w:eastAsia="仿宋_GB2312" w:cs="仿宋"/>
                <w:color w:val="000000" w:themeColor="text1"/>
                <w:kern w:val="0"/>
                <w:szCs w:val="21"/>
              </w:rPr>
            </w:pPr>
          </w:p>
        </w:tc>
        <w:tc>
          <w:tcPr>
            <w:tcW w:w="675" w:type="dxa"/>
            <w:tcBorders>
              <w:top w:val="single" w:color="auto" w:sz="4" w:space="0"/>
              <w:left w:val="single" w:color="auto" w:sz="4" w:space="0"/>
              <w:bottom w:val="single" w:color="auto" w:sz="4" w:space="0"/>
              <w:right w:val="single" w:color="auto" w:sz="4" w:space="0"/>
            </w:tcBorders>
            <w:noWrap/>
            <w:vAlign w:val="center"/>
          </w:tcPr>
          <w:p w14:paraId="5D112D51">
            <w:pPr>
              <w:tabs>
                <w:tab w:val="left" w:pos="-75"/>
              </w:tabs>
              <w:spacing w:line="360" w:lineRule="auto"/>
              <w:ind w:right="-57" w:rightChars="-27"/>
              <w:jc w:val="center"/>
              <w:rPr>
                <w:rFonts w:ascii="仿宋_GB2312" w:hAnsi="仿宋" w:eastAsia="仿宋_GB2312" w:cs="仿宋"/>
                <w:color w:val="000000" w:themeColor="text1"/>
                <w:kern w:val="0"/>
                <w:szCs w:val="21"/>
              </w:rPr>
            </w:pPr>
          </w:p>
        </w:tc>
        <w:tc>
          <w:tcPr>
            <w:tcW w:w="637" w:type="dxa"/>
            <w:tcBorders>
              <w:top w:val="single" w:color="auto" w:sz="4" w:space="0"/>
              <w:left w:val="single" w:color="auto" w:sz="4" w:space="0"/>
              <w:bottom w:val="single" w:color="auto" w:sz="4" w:space="0"/>
              <w:right w:val="single" w:color="auto" w:sz="4" w:space="0"/>
            </w:tcBorders>
            <w:noWrap/>
            <w:vAlign w:val="center"/>
          </w:tcPr>
          <w:p w14:paraId="433605D2">
            <w:pPr>
              <w:tabs>
                <w:tab w:val="left" w:pos="-75"/>
              </w:tabs>
              <w:spacing w:line="360" w:lineRule="auto"/>
              <w:ind w:right="-57" w:rightChars="-27"/>
              <w:jc w:val="center"/>
              <w:rPr>
                <w:rFonts w:ascii="仿宋_GB2312" w:hAnsi="仿宋" w:eastAsia="仿宋_GB2312" w:cs="仿宋"/>
                <w:color w:val="000000" w:themeColor="text1"/>
                <w:kern w:val="0"/>
                <w:szCs w:val="21"/>
              </w:rPr>
            </w:pPr>
          </w:p>
          <w:p w14:paraId="2F4CC5BC">
            <w:pPr>
              <w:spacing w:line="360" w:lineRule="auto"/>
              <w:rPr>
                <w:rFonts w:ascii="仿宋_GB2312" w:hAnsi="仿宋" w:eastAsia="仿宋_GB2312" w:cs="仿宋"/>
                <w:color w:val="000000" w:themeColor="text1"/>
                <w:szCs w:val="21"/>
                <w:lang w:val="zh-CN" w:bidi="zh-CN"/>
              </w:rPr>
            </w:pPr>
          </w:p>
        </w:tc>
      </w:tr>
      <w:tr w14:paraId="270C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323" w:type="dxa"/>
            <w:tcBorders>
              <w:top w:val="single" w:color="auto" w:sz="4" w:space="0"/>
              <w:left w:val="single" w:color="auto" w:sz="4" w:space="0"/>
              <w:bottom w:val="single" w:color="auto" w:sz="4" w:space="0"/>
              <w:right w:val="single" w:color="auto" w:sz="4" w:space="0"/>
            </w:tcBorders>
            <w:noWrap/>
            <w:vAlign w:val="center"/>
          </w:tcPr>
          <w:p w14:paraId="63720551">
            <w:pPr>
              <w:adjustRightInd w:val="0"/>
              <w:snapToGrid w:val="0"/>
              <w:spacing w:line="360" w:lineRule="auto"/>
              <w:ind w:hanging="1"/>
              <w:jc w:val="left"/>
              <w:rPr>
                <w:rFonts w:ascii="仿宋_GB2312" w:hAnsi="仿宋" w:eastAsia="仿宋_GB2312" w:cs="仿宋"/>
                <w:b/>
                <w:color w:val="000000" w:themeColor="text1"/>
                <w:szCs w:val="21"/>
              </w:rPr>
            </w:pPr>
            <w:r>
              <w:rPr>
                <w:rFonts w:hint="eastAsia" w:ascii="仿宋_GB2312" w:hAnsi="仿宋" w:eastAsia="仿宋_GB2312" w:cs="仿宋"/>
                <w:b/>
                <w:color w:val="000000" w:themeColor="text1"/>
                <w:szCs w:val="21"/>
              </w:rPr>
              <w:t>★</w:t>
            </w:r>
            <w:r>
              <w:rPr>
                <w:rFonts w:hint="eastAsia" w:ascii="仿宋_GB2312" w:hAnsi="仿宋" w:eastAsia="仿宋_GB2312" w:cs="仿宋"/>
                <w:b/>
                <w:bCs/>
                <w:color w:val="000000" w:themeColor="text1"/>
                <w:szCs w:val="21"/>
              </w:rPr>
              <w:t>服务考核</w:t>
            </w:r>
          </w:p>
          <w:p w14:paraId="4A3C58DE">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1、在合同有效期内，服务提供方经校管理考核领导小组按照学校管理考核细则考核不合格的，学校有权无条件提前解除合同，由此产生的全部经济损失由服务提供方承担。</w:t>
            </w:r>
          </w:p>
          <w:p w14:paraId="73DAD497">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2.1、服务提供方的报价中，应包含（但不限于）项目所有员工工资、各种社会保险费及意外伤害险、税金、福利费、劳动保护、服装费等全部费用。</w:t>
            </w:r>
          </w:p>
          <w:p w14:paraId="7938DCCA">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2.2、因服务提供方及其工作人员的原因，对其自身、校方及第三方造成人身损害或财产损失的，全部法律责任及经济赔偿责任由服务提供方承担。</w:t>
            </w:r>
          </w:p>
          <w:p w14:paraId="3A80FD5A">
            <w:pPr>
              <w:autoSpaceDE w:val="0"/>
              <w:autoSpaceDN w:val="0"/>
              <w:adjustRightInd w:val="0"/>
              <w:spacing w:line="360" w:lineRule="auto"/>
              <w:jc w:val="left"/>
              <w:rPr>
                <w:rFonts w:ascii="仿宋_GB2312" w:hAnsi="仿宋" w:eastAsia="仿宋_GB2312" w:cs="仿宋"/>
                <w:color w:val="000000" w:themeColor="text1"/>
                <w:szCs w:val="21"/>
                <w:lang w:val="zh-CN" w:bidi="zh-CN"/>
              </w:rPr>
            </w:pPr>
            <w:r>
              <w:rPr>
                <w:rFonts w:hint="eastAsia" w:ascii="仿宋_GB2312" w:hAnsi="仿宋" w:eastAsia="仿宋_GB2312" w:cs="仿宋"/>
                <w:color w:val="000000" w:themeColor="text1"/>
                <w:szCs w:val="21"/>
                <w:lang w:val="zh-CN" w:bidi="zh-CN"/>
              </w:rPr>
              <w:t>3、经采购人对中选供应商的月度服务质量进行综合考评, 综合各项服务满意度在 90%（含）以上为合格；经考评未能达到采购人要求的（满意度在90%以下），采购人有权要求中选供应商进行整改；若整改后仍未达到要求，采购人有权单方无条件终止合同，中选供应商无条件退出。</w:t>
            </w:r>
          </w:p>
          <w:p w14:paraId="455D9CC8">
            <w:pPr>
              <w:adjustRightInd w:val="0"/>
              <w:snapToGrid w:val="0"/>
              <w:spacing w:line="360" w:lineRule="auto"/>
              <w:jc w:val="left"/>
              <w:rPr>
                <w:rFonts w:ascii="仿宋_GB2312" w:hAnsi="仿宋" w:eastAsia="仿宋_GB2312" w:cs="仿宋"/>
                <w:b/>
                <w:color w:val="000000" w:themeColor="text1"/>
                <w:szCs w:val="21"/>
              </w:rPr>
            </w:pPr>
            <w:r>
              <w:rPr>
                <w:rFonts w:hint="eastAsia" w:ascii="仿宋_GB2312" w:hAnsi="仿宋" w:eastAsia="仿宋_GB2312" w:cs="仿宋"/>
                <w:color w:val="000000" w:themeColor="text1"/>
                <w:szCs w:val="21"/>
                <w:lang w:val="zh-CN" w:bidi="zh-CN"/>
              </w:rPr>
              <w:t>4、付款方式：按月付款，服务满一个月后，由服务提供方提供正规人员劳务外包服务费税务发票，经学校相关部门考核符合要求后，在下月</w:t>
            </w:r>
            <w:r>
              <w:rPr>
                <w:rFonts w:hint="eastAsia" w:ascii="仿宋_GB2312" w:hAnsi="仿宋" w:eastAsia="仿宋_GB2312" w:cs="仿宋"/>
                <w:color w:val="000000" w:themeColor="text1"/>
                <w:szCs w:val="21"/>
                <w:lang w:bidi="zh-CN"/>
              </w:rPr>
              <w:t>2</w:t>
            </w:r>
            <w:r>
              <w:rPr>
                <w:rFonts w:hint="eastAsia" w:ascii="仿宋_GB2312" w:hAnsi="仿宋" w:eastAsia="仿宋_GB2312" w:cs="仿宋"/>
                <w:color w:val="000000" w:themeColor="text1"/>
                <w:szCs w:val="21"/>
                <w:lang w:val="zh-CN" w:bidi="zh-CN"/>
              </w:rPr>
              <w:t>5日前以银行转帐方式支付上月服务费。如服务提供方有违约扣款，经双方相关人员核实确认后，报学校财务部门从服务提供方当月服务费用中扣除。</w:t>
            </w:r>
          </w:p>
        </w:tc>
        <w:tc>
          <w:tcPr>
            <w:tcW w:w="1378" w:type="dxa"/>
            <w:tcBorders>
              <w:top w:val="single" w:color="auto" w:sz="4" w:space="0"/>
              <w:left w:val="single" w:color="auto" w:sz="4" w:space="0"/>
              <w:bottom w:val="single" w:color="auto" w:sz="4" w:space="0"/>
              <w:right w:val="single" w:color="auto" w:sz="4" w:space="0"/>
            </w:tcBorders>
            <w:noWrap/>
            <w:vAlign w:val="center"/>
          </w:tcPr>
          <w:p w14:paraId="4B7BC6C3">
            <w:pPr>
              <w:tabs>
                <w:tab w:val="left" w:pos="0"/>
              </w:tabs>
              <w:adjustRightInd w:val="0"/>
              <w:snapToGrid w:val="0"/>
              <w:spacing w:line="360" w:lineRule="auto"/>
              <w:jc w:val="center"/>
              <w:rPr>
                <w:rFonts w:ascii="仿宋_GB2312" w:hAnsi="仿宋" w:eastAsia="仿宋_GB2312" w:cs="仿宋"/>
                <w:color w:val="000000" w:themeColor="text1"/>
                <w:kern w:val="0"/>
                <w:szCs w:val="21"/>
              </w:rPr>
            </w:pPr>
          </w:p>
        </w:tc>
        <w:tc>
          <w:tcPr>
            <w:tcW w:w="675" w:type="dxa"/>
            <w:tcBorders>
              <w:top w:val="single" w:color="auto" w:sz="4" w:space="0"/>
              <w:left w:val="single" w:color="auto" w:sz="4" w:space="0"/>
              <w:bottom w:val="single" w:color="auto" w:sz="4" w:space="0"/>
              <w:right w:val="single" w:color="auto" w:sz="4" w:space="0"/>
            </w:tcBorders>
            <w:noWrap/>
            <w:vAlign w:val="center"/>
          </w:tcPr>
          <w:p w14:paraId="14FD6F91">
            <w:pPr>
              <w:tabs>
                <w:tab w:val="left" w:pos="-75"/>
              </w:tabs>
              <w:spacing w:line="360" w:lineRule="auto"/>
              <w:ind w:right="-57" w:rightChars="-27"/>
              <w:jc w:val="center"/>
              <w:rPr>
                <w:rFonts w:ascii="仿宋_GB2312" w:hAnsi="仿宋" w:eastAsia="仿宋_GB2312" w:cs="仿宋"/>
                <w:color w:val="000000" w:themeColor="text1"/>
                <w:kern w:val="0"/>
                <w:szCs w:val="21"/>
              </w:rPr>
            </w:pPr>
          </w:p>
        </w:tc>
        <w:tc>
          <w:tcPr>
            <w:tcW w:w="637" w:type="dxa"/>
            <w:tcBorders>
              <w:top w:val="single" w:color="auto" w:sz="4" w:space="0"/>
              <w:left w:val="single" w:color="auto" w:sz="4" w:space="0"/>
              <w:bottom w:val="single" w:color="auto" w:sz="4" w:space="0"/>
              <w:right w:val="single" w:color="auto" w:sz="4" w:space="0"/>
            </w:tcBorders>
            <w:noWrap/>
            <w:vAlign w:val="center"/>
          </w:tcPr>
          <w:p w14:paraId="570B304B">
            <w:pPr>
              <w:tabs>
                <w:tab w:val="left" w:pos="-75"/>
              </w:tabs>
              <w:spacing w:line="360" w:lineRule="auto"/>
              <w:ind w:right="-57" w:rightChars="-27"/>
              <w:jc w:val="center"/>
              <w:rPr>
                <w:rFonts w:ascii="仿宋_GB2312" w:hAnsi="仿宋" w:eastAsia="仿宋_GB2312" w:cs="仿宋"/>
                <w:color w:val="000000" w:themeColor="text1"/>
                <w:kern w:val="0"/>
                <w:szCs w:val="21"/>
              </w:rPr>
            </w:pPr>
          </w:p>
        </w:tc>
      </w:tr>
      <w:tr w14:paraId="243B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323" w:type="dxa"/>
            <w:tcBorders>
              <w:top w:val="single" w:color="auto" w:sz="4" w:space="0"/>
              <w:left w:val="single" w:color="auto" w:sz="4" w:space="0"/>
              <w:bottom w:val="single" w:color="auto" w:sz="4" w:space="0"/>
              <w:right w:val="single" w:color="auto" w:sz="4" w:space="0"/>
            </w:tcBorders>
            <w:noWrap/>
          </w:tcPr>
          <w:p w14:paraId="01B06B9C">
            <w:pPr>
              <w:spacing w:line="360" w:lineRule="auto"/>
              <w:ind w:firstLine="210" w:firstLineChars="100"/>
              <w:rPr>
                <w:rFonts w:ascii="仿宋_GB2312" w:hAnsi="仿宋" w:eastAsia="仿宋_GB2312"/>
                <w:color w:val="000000" w:themeColor="text1"/>
                <w:kern w:val="0"/>
                <w:szCs w:val="21"/>
              </w:rPr>
            </w:pPr>
            <w:r>
              <w:rPr>
                <w:rFonts w:hint="eastAsia" w:ascii="仿宋_GB2312" w:hAnsi="仿宋" w:eastAsia="仿宋_GB2312"/>
                <w:color w:val="000000" w:themeColor="text1"/>
                <w:kern w:val="0"/>
                <w:szCs w:val="21"/>
              </w:rPr>
              <w:t>签订合同</w:t>
            </w:r>
          </w:p>
          <w:p w14:paraId="3B9D053C">
            <w:pPr>
              <w:spacing w:line="360" w:lineRule="auto"/>
              <w:ind w:firstLine="210" w:firstLineChars="100"/>
              <w:rPr>
                <w:rFonts w:ascii="仿宋_GB2312" w:hAnsi="仿宋" w:eastAsia="仿宋_GB2312"/>
                <w:color w:val="000000" w:themeColor="text1"/>
                <w:kern w:val="0"/>
                <w:szCs w:val="21"/>
              </w:rPr>
            </w:pPr>
            <w:r>
              <w:rPr>
                <w:rFonts w:hint="eastAsia" w:ascii="仿宋_GB2312" w:hAnsi="仿宋" w:eastAsia="仿宋_GB2312"/>
                <w:color w:val="000000" w:themeColor="text1"/>
                <w:kern w:val="0"/>
                <w:szCs w:val="21"/>
              </w:rPr>
              <w:t>（1）各供应商中选后，与采购人签订三年的采购合同，采购期满后，采购人根据服务满意度、成果文件等确定是否续签，具体要求以合同签订为主。 采购文件未约定的其他特殊情况，由双方协商解决。</w:t>
            </w:r>
          </w:p>
          <w:p w14:paraId="494BC881">
            <w:pPr>
              <w:spacing w:line="360" w:lineRule="auto"/>
              <w:ind w:firstLine="210" w:firstLineChars="100"/>
              <w:rPr>
                <w:rFonts w:ascii="仿宋_GB2312" w:hAnsi="仿宋" w:eastAsia="仿宋_GB2312"/>
                <w:color w:val="000000" w:themeColor="text1"/>
                <w:kern w:val="0"/>
                <w:szCs w:val="21"/>
              </w:rPr>
            </w:pPr>
            <w:r>
              <w:rPr>
                <w:rFonts w:hint="eastAsia" w:ascii="仿宋_GB2312" w:hAnsi="仿宋" w:eastAsia="仿宋_GB2312"/>
                <w:color w:val="000000" w:themeColor="text1"/>
                <w:kern w:val="0"/>
                <w:szCs w:val="21"/>
              </w:rPr>
              <w:t>（2）中选供应商签订合同后，由各学校进行选择具体服务的供应商，选定的供应商与学校签订补充合同。</w:t>
            </w:r>
          </w:p>
          <w:p w14:paraId="4B83E0F7">
            <w:pPr>
              <w:spacing w:line="360" w:lineRule="auto"/>
              <w:ind w:firstLine="210" w:firstLineChars="100"/>
              <w:rPr>
                <w:rFonts w:ascii="仿宋_GB2312" w:hAnsi="仿宋" w:eastAsia="仿宋_GB2312"/>
                <w:color w:val="000000" w:themeColor="text1"/>
                <w:kern w:val="0"/>
                <w:szCs w:val="21"/>
              </w:rPr>
            </w:pPr>
            <w:r>
              <w:rPr>
                <w:rFonts w:hint="eastAsia" w:ascii="仿宋_GB2312" w:hAnsi="仿宋" w:eastAsia="仿宋_GB2312"/>
                <w:color w:val="000000" w:themeColor="text1"/>
                <w:kern w:val="0"/>
                <w:szCs w:val="21"/>
              </w:rPr>
              <w:t>（3）学校选择权限：各学校以学期为单位，在市级供应商范围内自主选择1家供应商。</w:t>
            </w:r>
          </w:p>
          <w:p w14:paraId="52F6FFEE">
            <w:pPr>
              <w:spacing w:line="360" w:lineRule="auto"/>
              <w:ind w:firstLine="210" w:firstLineChars="100"/>
              <w:rPr>
                <w:rFonts w:ascii="仿宋_GB2312" w:hAnsi="仿宋" w:eastAsia="仿宋_GB2312"/>
                <w:color w:val="000000" w:themeColor="text1"/>
                <w:kern w:val="0"/>
                <w:szCs w:val="21"/>
              </w:rPr>
            </w:pPr>
            <w:r>
              <w:rPr>
                <w:rFonts w:hint="eastAsia" w:ascii="仿宋_GB2312" w:hAnsi="仿宋" w:eastAsia="仿宋_GB2312"/>
                <w:color w:val="000000" w:themeColor="text1"/>
                <w:kern w:val="0"/>
                <w:szCs w:val="21"/>
              </w:rPr>
              <w:t>（4）中选供应商由学校自主选择，中选供应商不得以学校规模、年度资金总和等因素拒绝学校选择，如有发生视为自动放弃中选资格，市教育局将移除中选资质。</w:t>
            </w:r>
          </w:p>
        </w:tc>
        <w:tc>
          <w:tcPr>
            <w:tcW w:w="1378" w:type="dxa"/>
            <w:tcBorders>
              <w:top w:val="single" w:color="auto" w:sz="4" w:space="0"/>
              <w:left w:val="single" w:color="auto" w:sz="4" w:space="0"/>
              <w:bottom w:val="single" w:color="auto" w:sz="4" w:space="0"/>
              <w:right w:val="single" w:color="auto" w:sz="4" w:space="0"/>
            </w:tcBorders>
            <w:noWrap/>
            <w:vAlign w:val="center"/>
          </w:tcPr>
          <w:p w14:paraId="1B7F611B">
            <w:pPr>
              <w:tabs>
                <w:tab w:val="left" w:pos="0"/>
              </w:tabs>
              <w:adjustRightInd w:val="0"/>
              <w:snapToGrid w:val="0"/>
              <w:spacing w:line="360" w:lineRule="auto"/>
              <w:jc w:val="left"/>
              <w:rPr>
                <w:rFonts w:ascii="仿宋_GB2312" w:hAnsi="仿宋" w:eastAsia="仿宋_GB2312" w:cs="仿宋"/>
                <w:color w:val="000000" w:themeColor="text1"/>
                <w:kern w:val="0"/>
                <w:szCs w:val="21"/>
              </w:rPr>
            </w:pPr>
          </w:p>
        </w:tc>
        <w:tc>
          <w:tcPr>
            <w:tcW w:w="675" w:type="dxa"/>
            <w:tcBorders>
              <w:top w:val="single" w:color="auto" w:sz="4" w:space="0"/>
              <w:left w:val="single" w:color="auto" w:sz="4" w:space="0"/>
              <w:bottom w:val="single" w:color="auto" w:sz="4" w:space="0"/>
              <w:right w:val="single" w:color="auto" w:sz="4" w:space="0"/>
            </w:tcBorders>
            <w:noWrap/>
            <w:vAlign w:val="center"/>
          </w:tcPr>
          <w:p w14:paraId="2E0C2CE9">
            <w:pPr>
              <w:tabs>
                <w:tab w:val="left" w:pos="-75"/>
              </w:tabs>
              <w:spacing w:line="360" w:lineRule="auto"/>
              <w:ind w:right="-57" w:rightChars="-27"/>
              <w:jc w:val="center"/>
              <w:rPr>
                <w:rFonts w:ascii="仿宋_GB2312" w:hAnsi="仿宋" w:eastAsia="仿宋_GB2312" w:cs="仿宋"/>
                <w:color w:val="000000" w:themeColor="text1"/>
                <w:kern w:val="0"/>
                <w:szCs w:val="21"/>
              </w:rPr>
            </w:pPr>
          </w:p>
        </w:tc>
        <w:tc>
          <w:tcPr>
            <w:tcW w:w="637" w:type="dxa"/>
            <w:tcBorders>
              <w:top w:val="single" w:color="auto" w:sz="4" w:space="0"/>
              <w:left w:val="single" w:color="auto" w:sz="4" w:space="0"/>
              <w:bottom w:val="single" w:color="auto" w:sz="4" w:space="0"/>
              <w:right w:val="single" w:color="auto" w:sz="4" w:space="0"/>
            </w:tcBorders>
            <w:noWrap/>
            <w:vAlign w:val="center"/>
          </w:tcPr>
          <w:p w14:paraId="3699245F">
            <w:pPr>
              <w:tabs>
                <w:tab w:val="left" w:pos="-75"/>
              </w:tabs>
              <w:spacing w:line="360" w:lineRule="auto"/>
              <w:ind w:right="-57" w:rightChars="-27"/>
              <w:jc w:val="center"/>
              <w:rPr>
                <w:rFonts w:ascii="仿宋_GB2312" w:hAnsi="仿宋" w:eastAsia="仿宋_GB2312" w:cs="仿宋"/>
                <w:color w:val="000000" w:themeColor="text1"/>
                <w:kern w:val="0"/>
                <w:szCs w:val="21"/>
              </w:rPr>
            </w:pPr>
          </w:p>
        </w:tc>
      </w:tr>
      <w:tr w14:paraId="028B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323" w:type="dxa"/>
            <w:tcBorders>
              <w:top w:val="single" w:color="auto" w:sz="4" w:space="0"/>
              <w:left w:val="single" w:color="auto" w:sz="4" w:space="0"/>
              <w:bottom w:val="single" w:color="auto" w:sz="4" w:space="0"/>
              <w:right w:val="single" w:color="auto" w:sz="4" w:space="0"/>
            </w:tcBorders>
            <w:noWrap/>
          </w:tcPr>
          <w:p w14:paraId="69FEB3B1">
            <w:pPr>
              <w:spacing w:line="360" w:lineRule="auto"/>
              <w:ind w:firstLine="210" w:firstLineChars="100"/>
              <w:rPr>
                <w:rFonts w:ascii="仿宋_GB2312" w:hAnsi="仿宋" w:eastAsia="仿宋_GB2312"/>
                <w:color w:val="000000" w:themeColor="text1"/>
                <w:szCs w:val="21"/>
              </w:rPr>
            </w:pPr>
            <w:r>
              <w:rPr>
                <w:rFonts w:hint="eastAsia" w:ascii="仿宋_GB2312" w:hAnsi="仿宋" w:eastAsia="仿宋_GB2312"/>
                <w:color w:val="000000" w:themeColor="text1"/>
                <w:szCs w:val="21"/>
              </w:rPr>
              <w:t>供应权责</w:t>
            </w:r>
          </w:p>
          <w:p w14:paraId="7BEFDCB5">
            <w:pPr>
              <w:spacing w:line="360" w:lineRule="auto"/>
              <w:ind w:firstLine="210" w:firstLineChars="100"/>
              <w:rPr>
                <w:rFonts w:ascii="仿宋_GB2312" w:hAnsi="仿宋" w:eastAsia="仿宋_GB2312"/>
                <w:color w:val="000000" w:themeColor="text1"/>
                <w:szCs w:val="21"/>
              </w:rPr>
            </w:pPr>
            <w:r>
              <w:rPr>
                <w:rFonts w:hint="eastAsia" w:ascii="仿宋_GB2312" w:hAnsi="仿宋" w:eastAsia="仿宋_GB2312" w:cs="Times New Roman"/>
                <w:color w:val="000000" w:themeColor="text1"/>
                <w:kern w:val="0"/>
                <w:szCs w:val="21"/>
              </w:rPr>
              <w:t>供应商须严格遵守学校食堂经营相关法律法规，按采购提供经营资质并配合审查，采购期内在学校监督领导下管理运营、自负盈亏、独立核算；需做好卫生、防火、防盗、消防及食物中毒预防工作，服从管理，非餐厅工作人员（采购人员、专职监管人员除外）不得进入操作间，不得擅自改变房屋、厨房等设施使用功能（改建需经学校及相关部门批准），按学校作息要求按时供餐；用工须符合《中华人民共和国劳动合同法》并签正式合同，用工纠纷、人员伤亡及设备与操作人员安全事故均由其自行承担，工作人员校内住宿须遵守学校规定（违法犯罪则承担法律责任）；若经营违规被上级罚款，须向学校缴纳同等额度罚款，未按学校合理要求及时整改的将按合同约定处罚。</w:t>
            </w:r>
          </w:p>
        </w:tc>
        <w:tc>
          <w:tcPr>
            <w:tcW w:w="1378" w:type="dxa"/>
            <w:tcBorders>
              <w:top w:val="single" w:color="auto" w:sz="4" w:space="0"/>
              <w:left w:val="single" w:color="auto" w:sz="4" w:space="0"/>
              <w:bottom w:val="single" w:color="auto" w:sz="4" w:space="0"/>
              <w:right w:val="single" w:color="auto" w:sz="4" w:space="0"/>
            </w:tcBorders>
            <w:noWrap/>
            <w:vAlign w:val="center"/>
          </w:tcPr>
          <w:p w14:paraId="09D924D7">
            <w:pPr>
              <w:tabs>
                <w:tab w:val="left" w:pos="0"/>
              </w:tabs>
              <w:adjustRightInd w:val="0"/>
              <w:snapToGrid w:val="0"/>
              <w:spacing w:line="360" w:lineRule="auto"/>
              <w:jc w:val="left"/>
              <w:rPr>
                <w:rFonts w:ascii="仿宋_GB2312" w:hAnsi="仿宋" w:eastAsia="仿宋_GB2312" w:cs="仿宋"/>
                <w:color w:val="000000" w:themeColor="text1"/>
                <w:kern w:val="0"/>
                <w:szCs w:val="21"/>
              </w:rPr>
            </w:pPr>
          </w:p>
        </w:tc>
        <w:tc>
          <w:tcPr>
            <w:tcW w:w="675" w:type="dxa"/>
            <w:tcBorders>
              <w:top w:val="single" w:color="auto" w:sz="4" w:space="0"/>
              <w:left w:val="single" w:color="auto" w:sz="4" w:space="0"/>
              <w:bottom w:val="single" w:color="auto" w:sz="4" w:space="0"/>
              <w:right w:val="single" w:color="auto" w:sz="4" w:space="0"/>
            </w:tcBorders>
            <w:noWrap/>
            <w:vAlign w:val="center"/>
          </w:tcPr>
          <w:p w14:paraId="20CF25C3">
            <w:pPr>
              <w:tabs>
                <w:tab w:val="left" w:pos="-75"/>
              </w:tabs>
              <w:spacing w:line="360" w:lineRule="auto"/>
              <w:ind w:right="-57" w:rightChars="-27"/>
              <w:jc w:val="center"/>
              <w:rPr>
                <w:rFonts w:ascii="仿宋_GB2312" w:hAnsi="仿宋" w:eastAsia="仿宋_GB2312" w:cs="仿宋"/>
                <w:color w:val="000000" w:themeColor="text1"/>
                <w:kern w:val="0"/>
                <w:szCs w:val="21"/>
              </w:rPr>
            </w:pPr>
          </w:p>
        </w:tc>
        <w:tc>
          <w:tcPr>
            <w:tcW w:w="637" w:type="dxa"/>
            <w:tcBorders>
              <w:top w:val="single" w:color="auto" w:sz="4" w:space="0"/>
              <w:left w:val="single" w:color="auto" w:sz="4" w:space="0"/>
              <w:bottom w:val="single" w:color="auto" w:sz="4" w:space="0"/>
              <w:right w:val="single" w:color="auto" w:sz="4" w:space="0"/>
            </w:tcBorders>
            <w:noWrap/>
            <w:vAlign w:val="center"/>
          </w:tcPr>
          <w:p w14:paraId="7E6DC2D0">
            <w:pPr>
              <w:tabs>
                <w:tab w:val="left" w:pos="-75"/>
              </w:tabs>
              <w:spacing w:line="360" w:lineRule="auto"/>
              <w:ind w:right="-57" w:rightChars="-27"/>
              <w:jc w:val="center"/>
              <w:rPr>
                <w:rFonts w:ascii="仿宋_GB2312" w:hAnsi="仿宋" w:eastAsia="仿宋_GB2312" w:cs="仿宋"/>
                <w:color w:val="000000" w:themeColor="text1"/>
                <w:kern w:val="0"/>
                <w:szCs w:val="21"/>
              </w:rPr>
            </w:pPr>
          </w:p>
        </w:tc>
      </w:tr>
      <w:tr w14:paraId="136A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323" w:type="dxa"/>
            <w:tcBorders>
              <w:top w:val="single" w:color="auto" w:sz="4" w:space="0"/>
              <w:left w:val="single" w:color="auto" w:sz="4" w:space="0"/>
              <w:bottom w:val="single" w:color="auto" w:sz="4" w:space="0"/>
              <w:right w:val="single" w:color="auto" w:sz="4" w:space="0"/>
            </w:tcBorders>
            <w:noWrap/>
          </w:tcPr>
          <w:p w14:paraId="20F6B58F">
            <w:pPr>
              <w:spacing w:line="360" w:lineRule="auto"/>
              <w:ind w:firstLine="210" w:firstLineChars="100"/>
              <w:rPr>
                <w:rFonts w:ascii="仿宋_GB2312" w:hAnsi="仿宋" w:eastAsia="仿宋_GB2312"/>
                <w:color w:val="000000" w:themeColor="text1"/>
                <w:szCs w:val="21"/>
              </w:rPr>
            </w:pPr>
            <w:r>
              <w:rPr>
                <w:rFonts w:hint="eastAsia" w:ascii="仿宋_GB2312" w:hAnsi="仿宋" w:eastAsia="仿宋_GB2312"/>
                <w:color w:val="000000" w:themeColor="text1"/>
                <w:szCs w:val="21"/>
              </w:rPr>
              <w:t>管理措施</w:t>
            </w:r>
          </w:p>
          <w:p w14:paraId="713D9D0A">
            <w:pPr>
              <w:spacing w:line="360" w:lineRule="auto"/>
              <w:rPr>
                <w:rFonts w:ascii="仿宋_GB2312" w:hAnsi="仿宋" w:eastAsia="仿宋_GB2312" w:cs="Times New Roman"/>
                <w:color w:val="000000" w:themeColor="text1"/>
                <w:kern w:val="0"/>
                <w:szCs w:val="21"/>
              </w:rPr>
            </w:pPr>
            <w:r>
              <w:rPr>
                <w:rFonts w:hint="eastAsia" w:ascii="仿宋_GB2312" w:hAnsi="仿宋" w:eastAsia="仿宋_GB2312" w:cs="Times New Roman"/>
                <w:color w:val="000000" w:themeColor="text1"/>
                <w:kern w:val="0"/>
                <w:szCs w:val="21"/>
              </w:rPr>
              <w:t>（一）检查要求</w:t>
            </w:r>
          </w:p>
          <w:p w14:paraId="3FA81C49">
            <w:pPr>
              <w:spacing w:line="360" w:lineRule="auto"/>
              <w:rPr>
                <w:rFonts w:ascii="仿宋_GB2312" w:hAnsi="仿宋" w:eastAsia="仿宋_GB2312" w:cs="Times New Roman"/>
                <w:color w:val="000000" w:themeColor="text1"/>
                <w:kern w:val="0"/>
                <w:szCs w:val="21"/>
              </w:rPr>
            </w:pPr>
            <w:r>
              <w:rPr>
                <w:rFonts w:hint="eastAsia" w:ascii="仿宋_GB2312" w:hAnsi="仿宋" w:eastAsia="仿宋_GB2312" w:cs="Times New Roman"/>
                <w:color w:val="000000" w:themeColor="text1"/>
                <w:kern w:val="0"/>
                <w:szCs w:val="21"/>
              </w:rPr>
              <w:t>学校每日核查：安排后勤管理人员每日对食堂从业人员到岗情况（核对考勤表）、操作规范（检查食材清洗、烹饪温度、餐具消毒记录）进行核查，填写《每日监管记录表》，发现问题当日要求供应商整改。</w:t>
            </w:r>
          </w:p>
          <w:p w14:paraId="49EAB464">
            <w:pPr>
              <w:spacing w:line="360" w:lineRule="auto"/>
              <w:rPr>
                <w:rFonts w:ascii="仿宋_GB2312" w:hAnsi="仿宋" w:eastAsia="仿宋_GB2312" w:cs="Times New Roman"/>
                <w:color w:val="000000" w:themeColor="text1"/>
                <w:kern w:val="0"/>
                <w:szCs w:val="21"/>
              </w:rPr>
            </w:pPr>
            <w:r>
              <w:rPr>
                <w:rFonts w:hint="eastAsia" w:ascii="仿宋_GB2312" w:hAnsi="仿宋" w:eastAsia="仿宋_GB2312" w:cs="Times New Roman"/>
                <w:color w:val="000000" w:themeColor="text1"/>
                <w:kern w:val="0"/>
                <w:szCs w:val="21"/>
              </w:rPr>
              <w:t>县（区）教育局每月抽查：每月随机抽取辖区内30%的学校（市直学校按归属地），通过现场检查、查阅台账、师生访谈等方式，检查服务质量，形成《月度抽查报告》，对问题学校及供应商进行通报。</w:t>
            </w:r>
          </w:p>
          <w:p w14:paraId="76B39EA6">
            <w:pPr>
              <w:spacing w:line="360" w:lineRule="auto"/>
              <w:rPr>
                <w:rFonts w:ascii="仿宋_GB2312" w:hAnsi="仿宋" w:eastAsia="仿宋_GB2312" w:cs="Times New Roman"/>
                <w:color w:val="000000" w:themeColor="text1"/>
                <w:kern w:val="0"/>
                <w:szCs w:val="21"/>
              </w:rPr>
            </w:pPr>
            <w:r>
              <w:rPr>
                <w:rFonts w:hint="eastAsia" w:ascii="仿宋_GB2312" w:hAnsi="仿宋" w:eastAsia="仿宋_GB2312" w:cs="Times New Roman"/>
                <w:color w:val="000000" w:themeColor="text1"/>
                <w:kern w:val="0"/>
                <w:szCs w:val="21"/>
              </w:rPr>
              <w:t>市教育局每季度评估：每季度组织专项评估，覆盖全市20%的学校，评估指标包括食品安全合规率、人员到岗率、师生满意度等，形成《季度评估报告》，评估结果全市通报。</w:t>
            </w:r>
            <w:r>
              <w:rPr>
                <w:rFonts w:hint="eastAsia" w:ascii="MS Mincho" w:hAnsi="MS Mincho" w:eastAsia="MS Mincho" w:cs="MS Mincho"/>
                <w:color w:val="000000" w:themeColor="text1"/>
                <w:kern w:val="0"/>
                <w:szCs w:val="21"/>
              </w:rPr>
              <w:t>​</w:t>
            </w:r>
          </w:p>
          <w:p w14:paraId="24F70300">
            <w:pPr>
              <w:spacing w:line="360" w:lineRule="auto"/>
              <w:rPr>
                <w:rFonts w:ascii="仿宋_GB2312" w:hAnsi="仿宋" w:eastAsia="仿宋_GB2312" w:cs="Times New Roman"/>
                <w:color w:val="000000" w:themeColor="text1"/>
                <w:kern w:val="0"/>
                <w:szCs w:val="21"/>
              </w:rPr>
            </w:pPr>
            <w:r>
              <w:rPr>
                <w:rFonts w:hint="eastAsia" w:ascii="仿宋_GB2312" w:hAnsi="仿宋" w:eastAsia="仿宋_GB2312" w:cs="Times New Roman"/>
                <w:color w:val="000000" w:themeColor="text1"/>
                <w:kern w:val="0"/>
                <w:szCs w:val="21"/>
              </w:rPr>
              <w:t>（二）供应商考核与退出机制</w:t>
            </w:r>
          </w:p>
          <w:p w14:paraId="7584CAF6">
            <w:pPr>
              <w:spacing w:line="360" w:lineRule="auto"/>
              <w:rPr>
                <w:rFonts w:ascii="仿宋_GB2312" w:hAnsi="仿宋" w:eastAsia="仿宋_GB2312" w:cs="Times New Roman"/>
                <w:color w:val="000000" w:themeColor="text1"/>
                <w:kern w:val="0"/>
                <w:szCs w:val="21"/>
              </w:rPr>
            </w:pPr>
            <w:r>
              <w:rPr>
                <w:rFonts w:hint="eastAsia" w:ascii="仿宋_GB2312" w:hAnsi="仿宋" w:eastAsia="仿宋_GB2312" w:cs="Times New Roman"/>
                <w:color w:val="000000" w:themeColor="text1"/>
                <w:kern w:val="0"/>
                <w:szCs w:val="21"/>
              </w:rPr>
              <w:t>考核结果应用：</w:t>
            </w:r>
            <w:r>
              <w:rPr>
                <w:rFonts w:hint="eastAsia" w:ascii="MS Mincho" w:hAnsi="MS Mincho" w:eastAsia="MS Mincho" w:cs="MS Mincho"/>
                <w:color w:val="000000" w:themeColor="text1"/>
                <w:kern w:val="0"/>
                <w:szCs w:val="21"/>
              </w:rPr>
              <w:t>​</w:t>
            </w:r>
          </w:p>
          <w:p w14:paraId="196246FA">
            <w:pPr>
              <w:spacing w:line="360" w:lineRule="auto"/>
              <w:rPr>
                <w:rFonts w:ascii="仿宋_GB2312" w:hAnsi="仿宋" w:eastAsia="仿宋_GB2312" w:cs="Times New Roman"/>
                <w:color w:val="000000" w:themeColor="text1"/>
                <w:kern w:val="0"/>
                <w:szCs w:val="21"/>
              </w:rPr>
            </w:pPr>
            <w:r>
              <w:rPr>
                <w:rFonts w:hint="eastAsia" w:ascii="仿宋_GB2312" w:hAnsi="仿宋" w:eastAsia="仿宋_GB2312" w:cs="Times New Roman"/>
                <w:color w:val="000000" w:themeColor="text1"/>
                <w:kern w:val="0"/>
                <w:szCs w:val="21"/>
              </w:rPr>
              <w:t>合格：得分≥80分，继续保留供应资格。</w:t>
            </w:r>
            <w:r>
              <w:rPr>
                <w:rFonts w:hint="eastAsia" w:ascii="MS Mincho" w:hAnsi="MS Mincho" w:eastAsia="MS Mincho" w:cs="MS Mincho"/>
                <w:color w:val="000000" w:themeColor="text1"/>
                <w:kern w:val="0"/>
                <w:szCs w:val="21"/>
              </w:rPr>
              <w:t>​</w:t>
            </w:r>
          </w:p>
          <w:p w14:paraId="4B502795">
            <w:pPr>
              <w:spacing w:line="360" w:lineRule="auto"/>
              <w:rPr>
                <w:rFonts w:ascii="仿宋_GB2312" w:hAnsi="仿宋" w:eastAsia="仿宋_GB2312" w:cs="Times New Roman"/>
                <w:color w:val="000000" w:themeColor="text1"/>
                <w:kern w:val="0"/>
                <w:szCs w:val="21"/>
              </w:rPr>
            </w:pPr>
            <w:r>
              <w:rPr>
                <w:rFonts w:hint="eastAsia" w:ascii="仿宋_GB2312" w:hAnsi="仿宋" w:eastAsia="仿宋_GB2312" w:cs="Times New Roman"/>
                <w:color w:val="000000" w:themeColor="text1"/>
                <w:kern w:val="0"/>
                <w:szCs w:val="21"/>
              </w:rPr>
              <w:t>整改：60分≤得分＜80分，下达整改通知书，限期15天整改，整改后复查合格方可继续供应。</w:t>
            </w:r>
          </w:p>
          <w:p w14:paraId="6862AA06">
            <w:pPr>
              <w:spacing w:line="360" w:lineRule="auto"/>
              <w:rPr>
                <w:rFonts w:ascii="仿宋_GB2312" w:hAnsi="仿宋" w:eastAsia="仿宋_GB2312" w:cs="Times New Roman"/>
                <w:color w:val="000000" w:themeColor="text1"/>
                <w:kern w:val="0"/>
                <w:szCs w:val="21"/>
              </w:rPr>
            </w:pPr>
            <w:r>
              <w:rPr>
                <w:rFonts w:hint="eastAsia" w:ascii="仿宋_GB2312" w:hAnsi="仿宋" w:eastAsia="仿宋_GB2312" w:cs="Times New Roman"/>
                <w:color w:val="000000" w:themeColor="text1"/>
                <w:kern w:val="0"/>
                <w:szCs w:val="21"/>
              </w:rPr>
              <w:t>退出：得分＜60分（或连续2次整改不合格），立即取消供应资格，且3年内不得参与本溪市校园餐自有食堂餐饮服务管理项目。</w:t>
            </w:r>
            <w:r>
              <w:rPr>
                <w:rFonts w:hint="eastAsia" w:ascii="MS Mincho" w:hAnsi="MS Mincho" w:eastAsia="MS Mincho" w:cs="MS Mincho"/>
                <w:color w:val="000000" w:themeColor="text1"/>
                <w:kern w:val="0"/>
                <w:szCs w:val="21"/>
              </w:rPr>
              <w:t>​</w:t>
            </w:r>
          </w:p>
          <w:p w14:paraId="40BAFCBD">
            <w:pPr>
              <w:spacing w:line="360" w:lineRule="auto"/>
              <w:ind w:firstLine="210" w:firstLineChars="100"/>
              <w:rPr>
                <w:rFonts w:ascii="仿宋_GB2312" w:hAnsi="仿宋" w:eastAsia="仿宋_GB2312"/>
                <w:color w:val="000000" w:themeColor="text1"/>
                <w:szCs w:val="21"/>
              </w:rPr>
            </w:pPr>
            <w:r>
              <w:rPr>
                <w:rFonts w:hint="eastAsia" w:ascii="仿宋_GB2312" w:hAnsi="仿宋" w:eastAsia="仿宋_GB2312" w:cs="Times New Roman"/>
                <w:color w:val="000000" w:themeColor="text1"/>
                <w:kern w:val="0"/>
                <w:szCs w:val="21"/>
              </w:rPr>
              <w:t>退出衔接：供应商退出后，市教育局第一时间通知相关学校，学校在供应商中重新选择，确保按时供餐。</w:t>
            </w:r>
          </w:p>
        </w:tc>
        <w:tc>
          <w:tcPr>
            <w:tcW w:w="1378" w:type="dxa"/>
            <w:tcBorders>
              <w:top w:val="single" w:color="auto" w:sz="4" w:space="0"/>
              <w:left w:val="single" w:color="auto" w:sz="4" w:space="0"/>
              <w:bottom w:val="single" w:color="auto" w:sz="4" w:space="0"/>
              <w:right w:val="single" w:color="auto" w:sz="4" w:space="0"/>
            </w:tcBorders>
            <w:noWrap/>
            <w:vAlign w:val="center"/>
          </w:tcPr>
          <w:p w14:paraId="73388985">
            <w:pPr>
              <w:tabs>
                <w:tab w:val="left" w:pos="0"/>
              </w:tabs>
              <w:adjustRightInd w:val="0"/>
              <w:snapToGrid w:val="0"/>
              <w:spacing w:line="360" w:lineRule="auto"/>
              <w:jc w:val="left"/>
              <w:rPr>
                <w:rFonts w:ascii="仿宋_GB2312" w:hAnsi="仿宋" w:eastAsia="仿宋_GB2312" w:cs="仿宋"/>
                <w:color w:val="000000" w:themeColor="text1"/>
                <w:kern w:val="0"/>
                <w:szCs w:val="21"/>
              </w:rPr>
            </w:pPr>
          </w:p>
        </w:tc>
        <w:tc>
          <w:tcPr>
            <w:tcW w:w="675" w:type="dxa"/>
            <w:tcBorders>
              <w:top w:val="single" w:color="auto" w:sz="4" w:space="0"/>
              <w:left w:val="single" w:color="auto" w:sz="4" w:space="0"/>
              <w:bottom w:val="single" w:color="auto" w:sz="4" w:space="0"/>
              <w:right w:val="single" w:color="auto" w:sz="4" w:space="0"/>
            </w:tcBorders>
            <w:noWrap/>
            <w:vAlign w:val="center"/>
          </w:tcPr>
          <w:p w14:paraId="5E19B02E">
            <w:pPr>
              <w:tabs>
                <w:tab w:val="left" w:pos="-75"/>
              </w:tabs>
              <w:spacing w:line="360" w:lineRule="auto"/>
              <w:ind w:right="-57" w:rightChars="-27"/>
              <w:jc w:val="center"/>
              <w:rPr>
                <w:rFonts w:ascii="仿宋_GB2312" w:hAnsi="仿宋" w:eastAsia="仿宋_GB2312" w:cs="仿宋"/>
                <w:color w:val="000000" w:themeColor="text1"/>
                <w:kern w:val="0"/>
                <w:szCs w:val="21"/>
              </w:rPr>
            </w:pPr>
          </w:p>
        </w:tc>
        <w:tc>
          <w:tcPr>
            <w:tcW w:w="637" w:type="dxa"/>
            <w:tcBorders>
              <w:top w:val="single" w:color="auto" w:sz="4" w:space="0"/>
              <w:left w:val="single" w:color="auto" w:sz="4" w:space="0"/>
              <w:bottom w:val="single" w:color="auto" w:sz="4" w:space="0"/>
              <w:right w:val="single" w:color="auto" w:sz="4" w:space="0"/>
            </w:tcBorders>
            <w:noWrap/>
            <w:vAlign w:val="center"/>
          </w:tcPr>
          <w:p w14:paraId="4D3E3629">
            <w:pPr>
              <w:tabs>
                <w:tab w:val="left" w:pos="-75"/>
              </w:tabs>
              <w:spacing w:line="360" w:lineRule="auto"/>
              <w:ind w:right="-57" w:rightChars="-27"/>
              <w:jc w:val="center"/>
              <w:rPr>
                <w:rFonts w:ascii="仿宋_GB2312" w:hAnsi="仿宋" w:eastAsia="仿宋_GB2312" w:cs="仿宋"/>
                <w:color w:val="000000" w:themeColor="text1"/>
                <w:kern w:val="0"/>
                <w:szCs w:val="21"/>
              </w:rPr>
            </w:pPr>
          </w:p>
        </w:tc>
      </w:tr>
      <w:tr w14:paraId="4412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6323" w:type="dxa"/>
            <w:tcBorders>
              <w:top w:val="single" w:color="auto" w:sz="4" w:space="0"/>
              <w:left w:val="single" w:color="auto" w:sz="4" w:space="0"/>
              <w:bottom w:val="single" w:color="auto" w:sz="4" w:space="0"/>
              <w:right w:val="single" w:color="auto" w:sz="4" w:space="0"/>
            </w:tcBorders>
            <w:noWrap/>
            <w:vAlign w:val="center"/>
          </w:tcPr>
          <w:p w14:paraId="78B986B3">
            <w:pPr>
              <w:adjustRightInd w:val="0"/>
              <w:snapToGrid w:val="0"/>
              <w:spacing w:line="360" w:lineRule="auto"/>
              <w:ind w:hanging="1"/>
              <w:jc w:val="center"/>
              <w:rPr>
                <w:rFonts w:ascii="仿宋_GB2312" w:hAnsi="仿宋" w:eastAsia="仿宋_GB2312" w:cs="仿宋"/>
                <w:color w:val="000000" w:themeColor="text1"/>
                <w:szCs w:val="21"/>
              </w:rPr>
            </w:pPr>
            <w:r>
              <w:rPr>
                <w:rFonts w:hint="eastAsia" w:ascii="仿宋_GB2312" w:hAnsi="仿宋" w:eastAsia="仿宋_GB2312" w:cs="仿宋"/>
                <w:color w:val="000000" w:themeColor="text1"/>
                <w:szCs w:val="21"/>
              </w:rPr>
              <w:t>其它</w:t>
            </w:r>
          </w:p>
        </w:tc>
        <w:tc>
          <w:tcPr>
            <w:tcW w:w="1378" w:type="dxa"/>
            <w:tcBorders>
              <w:top w:val="single" w:color="auto" w:sz="4" w:space="0"/>
              <w:left w:val="single" w:color="auto" w:sz="4" w:space="0"/>
              <w:bottom w:val="single" w:color="auto" w:sz="4" w:space="0"/>
              <w:right w:val="single" w:color="auto" w:sz="4" w:space="0"/>
            </w:tcBorders>
            <w:noWrap/>
            <w:vAlign w:val="center"/>
          </w:tcPr>
          <w:p w14:paraId="2C7B2E75">
            <w:pPr>
              <w:tabs>
                <w:tab w:val="left" w:pos="0"/>
              </w:tabs>
              <w:adjustRightInd w:val="0"/>
              <w:snapToGrid w:val="0"/>
              <w:spacing w:line="360" w:lineRule="auto"/>
              <w:jc w:val="left"/>
              <w:rPr>
                <w:rFonts w:ascii="仿宋_GB2312" w:hAnsi="仿宋" w:eastAsia="仿宋_GB2312" w:cs="仿宋"/>
                <w:color w:val="000000" w:themeColor="text1"/>
                <w:kern w:val="0"/>
                <w:szCs w:val="21"/>
              </w:rPr>
            </w:pPr>
            <w:r>
              <w:rPr>
                <w:rFonts w:hint="eastAsia" w:ascii="仿宋_GB2312" w:hAnsi="仿宋" w:eastAsia="仿宋_GB2312" w:cs="仿宋"/>
                <w:color w:val="000000" w:themeColor="text1"/>
                <w:szCs w:val="21"/>
              </w:rPr>
              <w:t>采购单位未提供需求而供应商认为需说明及补充的内容在此填列</w:t>
            </w:r>
          </w:p>
        </w:tc>
        <w:tc>
          <w:tcPr>
            <w:tcW w:w="675" w:type="dxa"/>
            <w:tcBorders>
              <w:top w:val="single" w:color="auto" w:sz="4" w:space="0"/>
              <w:left w:val="single" w:color="auto" w:sz="4" w:space="0"/>
              <w:bottom w:val="single" w:color="auto" w:sz="4" w:space="0"/>
              <w:right w:val="single" w:color="auto" w:sz="4" w:space="0"/>
            </w:tcBorders>
            <w:noWrap/>
            <w:vAlign w:val="center"/>
          </w:tcPr>
          <w:p w14:paraId="13AA1A3C">
            <w:pPr>
              <w:tabs>
                <w:tab w:val="left" w:pos="-75"/>
              </w:tabs>
              <w:spacing w:line="360" w:lineRule="auto"/>
              <w:ind w:right="-57" w:rightChars="-27"/>
              <w:jc w:val="center"/>
              <w:rPr>
                <w:rFonts w:ascii="仿宋_GB2312" w:hAnsi="仿宋" w:eastAsia="仿宋_GB2312" w:cs="仿宋"/>
                <w:color w:val="000000" w:themeColor="text1"/>
                <w:kern w:val="0"/>
                <w:szCs w:val="21"/>
              </w:rPr>
            </w:pPr>
          </w:p>
        </w:tc>
        <w:tc>
          <w:tcPr>
            <w:tcW w:w="637" w:type="dxa"/>
            <w:tcBorders>
              <w:top w:val="single" w:color="auto" w:sz="4" w:space="0"/>
              <w:left w:val="single" w:color="auto" w:sz="4" w:space="0"/>
              <w:bottom w:val="single" w:color="auto" w:sz="4" w:space="0"/>
              <w:right w:val="single" w:color="auto" w:sz="4" w:space="0"/>
            </w:tcBorders>
            <w:noWrap/>
            <w:vAlign w:val="center"/>
          </w:tcPr>
          <w:p w14:paraId="2F5BA352">
            <w:pPr>
              <w:tabs>
                <w:tab w:val="left" w:pos="-75"/>
              </w:tabs>
              <w:spacing w:line="360" w:lineRule="auto"/>
              <w:ind w:right="-57" w:rightChars="-27"/>
              <w:jc w:val="center"/>
              <w:rPr>
                <w:rFonts w:ascii="仿宋_GB2312" w:hAnsi="仿宋" w:eastAsia="仿宋_GB2312" w:cs="仿宋"/>
                <w:color w:val="000000" w:themeColor="text1"/>
                <w:kern w:val="0"/>
                <w:szCs w:val="21"/>
              </w:rPr>
            </w:pPr>
          </w:p>
        </w:tc>
      </w:tr>
    </w:tbl>
    <w:p w14:paraId="09145F41">
      <w:pPr>
        <w:adjustRightInd w:val="0"/>
        <w:snapToGrid w:val="0"/>
        <w:spacing w:line="360" w:lineRule="auto"/>
        <w:ind w:right="105" w:rightChars="50"/>
        <w:jc w:val="left"/>
        <w:rPr>
          <w:rFonts w:ascii="仿宋_GB2312" w:hAnsi="仿宋" w:eastAsia="仿宋_GB2312" w:cs="仿宋"/>
          <w:b/>
          <w:color w:val="000000" w:themeColor="text1"/>
          <w:szCs w:val="21"/>
        </w:rPr>
      </w:pPr>
      <w:r>
        <w:rPr>
          <w:rFonts w:hint="eastAsia" w:ascii="仿宋_GB2312" w:hAnsi="仿宋" w:eastAsia="仿宋_GB2312" w:cs="仿宋"/>
          <w:b/>
          <w:color w:val="000000" w:themeColor="text1"/>
          <w:szCs w:val="21"/>
        </w:rPr>
        <w:t>填表要求：</w:t>
      </w:r>
    </w:p>
    <w:p w14:paraId="06112E9D">
      <w:pPr>
        <w:adjustRightInd w:val="0"/>
        <w:snapToGrid w:val="0"/>
        <w:spacing w:line="360" w:lineRule="auto"/>
        <w:rPr>
          <w:rFonts w:ascii="仿宋_GB2312" w:hAnsi="仿宋" w:eastAsia="仿宋_GB2312" w:cs="仿宋"/>
          <w:color w:val="000000" w:themeColor="text1"/>
          <w:szCs w:val="21"/>
        </w:rPr>
      </w:pPr>
      <w:r>
        <w:rPr>
          <w:rFonts w:hint="eastAsia" w:ascii="仿宋_GB2312" w:hAnsi="仿宋" w:eastAsia="仿宋_GB2312" w:cs="仿宋"/>
          <w:color w:val="000000" w:themeColor="text1"/>
          <w:szCs w:val="21"/>
        </w:rPr>
        <w:t>1．“响应文件响应内容”一栏由供应商按照采购采购文件要求填写并进行逐项响应。</w:t>
      </w:r>
    </w:p>
    <w:p w14:paraId="6104F146">
      <w:pPr>
        <w:adjustRightInd w:val="0"/>
        <w:snapToGrid w:val="0"/>
        <w:spacing w:line="360" w:lineRule="auto"/>
        <w:rPr>
          <w:rFonts w:ascii="仿宋_GB2312" w:hAnsi="仿宋" w:eastAsia="仿宋_GB2312" w:cs="仿宋_GB2312"/>
          <w:color w:val="000000" w:themeColor="text1"/>
          <w:szCs w:val="21"/>
        </w:rPr>
      </w:pPr>
      <w:r>
        <w:rPr>
          <w:rFonts w:hint="eastAsia" w:ascii="仿宋_GB2312" w:hAnsi="仿宋" w:eastAsia="仿宋_GB2312" w:cs="仿宋"/>
          <w:color w:val="000000" w:themeColor="text1"/>
          <w:szCs w:val="21"/>
        </w:rPr>
        <w:t>2．“偏离程度”一</w:t>
      </w:r>
      <w:r>
        <w:rPr>
          <w:rFonts w:hint="eastAsia" w:ascii="仿宋_GB2312" w:hAnsi="仿宋" w:eastAsia="仿宋_GB2312" w:cs="仿宋_GB2312"/>
          <w:color w:val="000000" w:themeColor="text1"/>
          <w:szCs w:val="21"/>
        </w:rPr>
        <w:t>栏根据“响应文件响应内容”与采购采购文件逐项对照的结果填写。偏离必须用 “正偏离、负偏离或无偏离”三个名称中的一种进行标注。</w:t>
      </w:r>
    </w:p>
    <w:p w14:paraId="65F8713D">
      <w:pPr>
        <w:adjustRightInd w:val="0"/>
        <w:snapToGrid w:val="0"/>
        <w:spacing w:line="360" w:lineRule="auto"/>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3．“偏离说明”一栏由供应商对偏离的情况做详细说明。</w:t>
      </w:r>
    </w:p>
    <w:p w14:paraId="7001AE9F">
      <w:pPr>
        <w:adjustRightInd w:val="0"/>
        <w:snapToGrid w:val="0"/>
        <w:spacing w:line="360" w:lineRule="auto"/>
        <w:rPr>
          <w:rFonts w:ascii="仿宋_GB2312" w:hAnsi="仿宋" w:eastAsia="仿宋_GB2312" w:cs="仿宋_GB2312"/>
          <w:color w:val="000000" w:themeColor="text1"/>
          <w:szCs w:val="21"/>
        </w:rPr>
      </w:pPr>
    </w:p>
    <w:p w14:paraId="10E5875B">
      <w:pPr>
        <w:snapToGrid w:val="0"/>
        <w:spacing w:line="360" w:lineRule="auto"/>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供应商名称（加盖单位公章）：</w:t>
      </w:r>
    </w:p>
    <w:p w14:paraId="7E775D4F">
      <w:pPr>
        <w:snapToGrid w:val="0"/>
        <w:spacing w:line="360" w:lineRule="auto"/>
        <w:rPr>
          <w:rFonts w:ascii="仿宋_GB2312" w:hAnsi="仿宋" w:eastAsia="仿宋_GB2312" w:cs="仿宋_GB2312"/>
          <w:color w:val="000000" w:themeColor="text1"/>
          <w:szCs w:val="21"/>
        </w:rPr>
      </w:pPr>
      <w:r>
        <w:rPr>
          <w:rFonts w:hint="eastAsia" w:ascii="仿宋_GB2312" w:hAnsi="仿宋" w:eastAsia="仿宋_GB2312" w:cs="仿宋_GB2312"/>
          <w:color w:val="000000" w:themeColor="text1"/>
          <w:szCs w:val="21"/>
        </w:rPr>
        <w:t>法定代表人（或非法人组织负责人）或其授权委托人(签字或盖章)：</w:t>
      </w:r>
    </w:p>
    <w:p w14:paraId="0221E5A1">
      <w:pPr>
        <w:adjustRightInd w:val="0"/>
        <w:snapToGrid w:val="0"/>
        <w:spacing w:line="360" w:lineRule="auto"/>
        <w:ind w:right="105" w:rightChars="50"/>
        <w:jc w:val="left"/>
        <w:rPr>
          <w:rFonts w:ascii="仿宋_GB2312" w:hAnsi="仿宋" w:eastAsia="仿宋_GB2312" w:cs="仿宋_GB2312"/>
          <w:color w:val="000000" w:themeColor="text1"/>
          <w:szCs w:val="21"/>
          <w:u w:val="single"/>
        </w:rPr>
      </w:pPr>
      <w:r>
        <w:rPr>
          <w:rFonts w:hint="eastAsia" w:ascii="仿宋_GB2312" w:hAnsi="仿宋" w:eastAsia="仿宋_GB2312" w:cs="仿宋_GB2312"/>
          <w:color w:val="000000" w:themeColor="text1"/>
          <w:szCs w:val="21"/>
        </w:rPr>
        <w:t>日期：</w:t>
      </w:r>
    </w:p>
    <w:p w14:paraId="228C9313">
      <w:pPr>
        <w:adjustRightInd w:val="0"/>
        <w:snapToGrid w:val="0"/>
        <w:spacing w:line="360" w:lineRule="auto"/>
        <w:ind w:right="105" w:rightChars="50"/>
        <w:jc w:val="left"/>
        <w:rPr>
          <w:rFonts w:ascii="仿宋_GB2312" w:hAnsi="仿宋" w:eastAsia="仿宋_GB2312" w:cs="仿宋_GB2312"/>
          <w:color w:val="000000" w:themeColor="text1"/>
          <w:szCs w:val="21"/>
          <w:u w:val="single"/>
        </w:rPr>
      </w:pPr>
    </w:p>
    <w:p w14:paraId="63945AA9">
      <w:pPr>
        <w:spacing w:line="360" w:lineRule="auto"/>
        <w:rPr>
          <w:rFonts w:ascii="仿宋_GB2312" w:hAnsi="仿宋" w:eastAsia="仿宋_GB2312" w:cs="Times New Roman"/>
          <w:color w:val="000000" w:themeColor="text1"/>
          <w:szCs w:val="21"/>
        </w:rPr>
      </w:pPr>
    </w:p>
    <w:p w14:paraId="23B15431">
      <w:pPr>
        <w:spacing w:line="360" w:lineRule="auto"/>
        <w:rPr>
          <w:rFonts w:ascii="仿宋_GB2312" w:hAnsi="仿宋" w:eastAsia="仿宋_GB2312" w:cs="Times New Roman"/>
          <w:color w:val="000000" w:themeColor="text1"/>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275688"/>
    </w:sdtPr>
    <w:sdtContent>
      <w:p w14:paraId="0A13B5B5">
        <w:pPr>
          <w:pStyle w:val="6"/>
          <w:jc w:val="center"/>
        </w:pPr>
        <w:r>
          <w:fldChar w:fldCharType="begin"/>
        </w:r>
        <w:r>
          <w:instrText xml:space="preserve"> PAGE   \* MERGEFORMAT </w:instrText>
        </w:r>
        <w:r>
          <w:fldChar w:fldCharType="separate"/>
        </w:r>
        <w:r>
          <w:rPr>
            <w:lang w:val="zh-CN"/>
          </w:rPr>
          <w:t>58</w:t>
        </w:r>
        <w:r>
          <w:rPr>
            <w:lang w:val="zh-CN"/>
          </w:rPr>
          <w:fldChar w:fldCharType="end"/>
        </w:r>
      </w:p>
    </w:sdtContent>
  </w:sdt>
  <w:p w14:paraId="645979EC">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120EBA"/>
    <w:multiLevelType w:val="singleLevel"/>
    <w:tmpl w:val="C2120EBA"/>
    <w:lvl w:ilvl="0" w:tentative="0">
      <w:start w:val="1"/>
      <w:numFmt w:val="decimal"/>
      <w:suff w:val="nothing"/>
      <w:lvlText w:val="%1、"/>
      <w:lvlJc w:val="left"/>
      <w:pPr>
        <w:ind w:left="-420"/>
      </w:pPr>
    </w:lvl>
  </w:abstractNum>
  <w:abstractNum w:abstractNumId="1">
    <w:nsid w:val="27517B61"/>
    <w:multiLevelType w:val="multilevel"/>
    <w:tmpl w:val="27517B61"/>
    <w:lvl w:ilvl="0" w:tentative="0">
      <w:start w:val="1"/>
      <w:numFmt w:val="japaneseCounting"/>
      <w:lvlText w:val="第%1章"/>
      <w:lvlJc w:val="left"/>
      <w:pPr>
        <w:ind w:left="1260" w:hanging="12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zY2U3ZGYzMWNhMjRhYTQzNmYwM2QxNzA5MWQxNGIifQ=="/>
  </w:docVars>
  <w:rsids>
    <w:rsidRoot w:val="53B52B8D"/>
    <w:rsid w:val="00013700"/>
    <w:rsid w:val="00015123"/>
    <w:rsid w:val="000217C1"/>
    <w:rsid w:val="0004787D"/>
    <w:rsid w:val="00061F92"/>
    <w:rsid w:val="0006310F"/>
    <w:rsid w:val="00066BC6"/>
    <w:rsid w:val="000734CC"/>
    <w:rsid w:val="00074434"/>
    <w:rsid w:val="000B698A"/>
    <w:rsid w:val="000E13F2"/>
    <w:rsid w:val="000E744A"/>
    <w:rsid w:val="000F4EF4"/>
    <w:rsid w:val="00111082"/>
    <w:rsid w:val="00120708"/>
    <w:rsid w:val="00121A29"/>
    <w:rsid w:val="001304A0"/>
    <w:rsid w:val="00133263"/>
    <w:rsid w:val="0013560B"/>
    <w:rsid w:val="00152049"/>
    <w:rsid w:val="001717C2"/>
    <w:rsid w:val="0018761B"/>
    <w:rsid w:val="001904B6"/>
    <w:rsid w:val="00194697"/>
    <w:rsid w:val="00195C08"/>
    <w:rsid w:val="001A4BAD"/>
    <w:rsid w:val="001A4C58"/>
    <w:rsid w:val="001B000B"/>
    <w:rsid w:val="001B628E"/>
    <w:rsid w:val="001C4FA7"/>
    <w:rsid w:val="001C57A4"/>
    <w:rsid w:val="001E11D1"/>
    <w:rsid w:val="001E54EC"/>
    <w:rsid w:val="001E57BE"/>
    <w:rsid w:val="001F0A9C"/>
    <w:rsid w:val="001F3C30"/>
    <w:rsid w:val="001F4BCF"/>
    <w:rsid w:val="00212763"/>
    <w:rsid w:val="00234CCC"/>
    <w:rsid w:val="002470F2"/>
    <w:rsid w:val="00250A7A"/>
    <w:rsid w:val="002529CA"/>
    <w:rsid w:val="0025422A"/>
    <w:rsid w:val="002613DD"/>
    <w:rsid w:val="00265DA1"/>
    <w:rsid w:val="00276039"/>
    <w:rsid w:val="00280740"/>
    <w:rsid w:val="00280AD4"/>
    <w:rsid w:val="00283F6A"/>
    <w:rsid w:val="002942D3"/>
    <w:rsid w:val="002A6AB4"/>
    <w:rsid w:val="002D44B9"/>
    <w:rsid w:val="002E0FF3"/>
    <w:rsid w:val="003003A5"/>
    <w:rsid w:val="00301E03"/>
    <w:rsid w:val="00302D1B"/>
    <w:rsid w:val="003070F2"/>
    <w:rsid w:val="00310C71"/>
    <w:rsid w:val="00313BC0"/>
    <w:rsid w:val="00330FBC"/>
    <w:rsid w:val="003515DD"/>
    <w:rsid w:val="00353C1B"/>
    <w:rsid w:val="00357459"/>
    <w:rsid w:val="003721F9"/>
    <w:rsid w:val="00375AF1"/>
    <w:rsid w:val="00395115"/>
    <w:rsid w:val="00396D44"/>
    <w:rsid w:val="003B1B18"/>
    <w:rsid w:val="003B2268"/>
    <w:rsid w:val="003B3F00"/>
    <w:rsid w:val="003C4094"/>
    <w:rsid w:val="003C6EA2"/>
    <w:rsid w:val="003E19CD"/>
    <w:rsid w:val="00411E62"/>
    <w:rsid w:val="00414B3B"/>
    <w:rsid w:val="0042202F"/>
    <w:rsid w:val="004247E2"/>
    <w:rsid w:val="0043358D"/>
    <w:rsid w:val="00433B1E"/>
    <w:rsid w:val="00451495"/>
    <w:rsid w:val="00452A2B"/>
    <w:rsid w:val="00464935"/>
    <w:rsid w:val="0046542E"/>
    <w:rsid w:val="00471F7C"/>
    <w:rsid w:val="0047579D"/>
    <w:rsid w:val="00494003"/>
    <w:rsid w:val="00496B99"/>
    <w:rsid w:val="004A0383"/>
    <w:rsid w:val="004B1B05"/>
    <w:rsid w:val="004B3CF7"/>
    <w:rsid w:val="004B74B6"/>
    <w:rsid w:val="004C64A3"/>
    <w:rsid w:val="004E33A0"/>
    <w:rsid w:val="004F225E"/>
    <w:rsid w:val="004F2E8B"/>
    <w:rsid w:val="004F6790"/>
    <w:rsid w:val="00513BF1"/>
    <w:rsid w:val="00521154"/>
    <w:rsid w:val="00525A76"/>
    <w:rsid w:val="0052781F"/>
    <w:rsid w:val="00535A29"/>
    <w:rsid w:val="00546297"/>
    <w:rsid w:val="00547432"/>
    <w:rsid w:val="00552258"/>
    <w:rsid w:val="00554CA9"/>
    <w:rsid w:val="00556CB8"/>
    <w:rsid w:val="00564819"/>
    <w:rsid w:val="00564E0F"/>
    <w:rsid w:val="005660DC"/>
    <w:rsid w:val="005726D6"/>
    <w:rsid w:val="0057786B"/>
    <w:rsid w:val="0058302B"/>
    <w:rsid w:val="00587F3F"/>
    <w:rsid w:val="005A1220"/>
    <w:rsid w:val="005B5AE3"/>
    <w:rsid w:val="005C3DE1"/>
    <w:rsid w:val="005D6672"/>
    <w:rsid w:val="005E4831"/>
    <w:rsid w:val="005E527F"/>
    <w:rsid w:val="005E56D8"/>
    <w:rsid w:val="005F2D00"/>
    <w:rsid w:val="005F5814"/>
    <w:rsid w:val="005F6869"/>
    <w:rsid w:val="00602416"/>
    <w:rsid w:val="006033D3"/>
    <w:rsid w:val="00605AF4"/>
    <w:rsid w:val="006127A4"/>
    <w:rsid w:val="0061537D"/>
    <w:rsid w:val="00615CB3"/>
    <w:rsid w:val="00617E86"/>
    <w:rsid w:val="00634B49"/>
    <w:rsid w:val="00656D24"/>
    <w:rsid w:val="0067506E"/>
    <w:rsid w:val="00684A5A"/>
    <w:rsid w:val="00686426"/>
    <w:rsid w:val="00687BB7"/>
    <w:rsid w:val="006A1B42"/>
    <w:rsid w:val="006A393C"/>
    <w:rsid w:val="006B415C"/>
    <w:rsid w:val="006B48CE"/>
    <w:rsid w:val="006B7D4C"/>
    <w:rsid w:val="006C224B"/>
    <w:rsid w:val="006C4EAD"/>
    <w:rsid w:val="006C5C31"/>
    <w:rsid w:val="006E21E5"/>
    <w:rsid w:val="006E3167"/>
    <w:rsid w:val="006E444C"/>
    <w:rsid w:val="006E7F4D"/>
    <w:rsid w:val="007034FB"/>
    <w:rsid w:val="007077E4"/>
    <w:rsid w:val="007159BA"/>
    <w:rsid w:val="00715B4F"/>
    <w:rsid w:val="00732FDD"/>
    <w:rsid w:val="0073463B"/>
    <w:rsid w:val="0073526E"/>
    <w:rsid w:val="007426AA"/>
    <w:rsid w:val="00747896"/>
    <w:rsid w:val="0075258B"/>
    <w:rsid w:val="0075343D"/>
    <w:rsid w:val="00765642"/>
    <w:rsid w:val="00772DF1"/>
    <w:rsid w:val="00781474"/>
    <w:rsid w:val="007A0DE8"/>
    <w:rsid w:val="007C6EA5"/>
    <w:rsid w:val="007C6EB9"/>
    <w:rsid w:val="007E7FA2"/>
    <w:rsid w:val="007F32AB"/>
    <w:rsid w:val="007F32F6"/>
    <w:rsid w:val="008077A6"/>
    <w:rsid w:val="0083167D"/>
    <w:rsid w:val="00841F3E"/>
    <w:rsid w:val="00842F17"/>
    <w:rsid w:val="0084708E"/>
    <w:rsid w:val="0085167B"/>
    <w:rsid w:val="008531FD"/>
    <w:rsid w:val="008553DD"/>
    <w:rsid w:val="00860A4A"/>
    <w:rsid w:val="00866F54"/>
    <w:rsid w:val="00867758"/>
    <w:rsid w:val="00872A09"/>
    <w:rsid w:val="00895AA6"/>
    <w:rsid w:val="008A4C43"/>
    <w:rsid w:val="008A68E6"/>
    <w:rsid w:val="008B255B"/>
    <w:rsid w:val="008B3305"/>
    <w:rsid w:val="008C1D40"/>
    <w:rsid w:val="008E70A1"/>
    <w:rsid w:val="008F1367"/>
    <w:rsid w:val="008F48F3"/>
    <w:rsid w:val="00903C0B"/>
    <w:rsid w:val="00906CB3"/>
    <w:rsid w:val="00913B96"/>
    <w:rsid w:val="00924EA8"/>
    <w:rsid w:val="009314D6"/>
    <w:rsid w:val="00940BEC"/>
    <w:rsid w:val="00941863"/>
    <w:rsid w:val="009602E2"/>
    <w:rsid w:val="00965169"/>
    <w:rsid w:val="009714CB"/>
    <w:rsid w:val="00980F3D"/>
    <w:rsid w:val="00981787"/>
    <w:rsid w:val="009836E9"/>
    <w:rsid w:val="00987AA0"/>
    <w:rsid w:val="00996CE6"/>
    <w:rsid w:val="00997596"/>
    <w:rsid w:val="009A0BE9"/>
    <w:rsid w:val="009A51B5"/>
    <w:rsid w:val="009B0A79"/>
    <w:rsid w:val="009C36A9"/>
    <w:rsid w:val="009C6B24"/>
    <w:rsid w:val="009E2C5E"/>
    <w:rsid w:val="009F0A7D"/>
    <w:rsid w:val="00A067E0"/>
    <w:rsid w:val="00A11B49"/>
    <w:rsid w:val="00A20067"/>
    <w:rsid w:val="00A2169B"/>
    <w:rsid w:val="00A30C8D"/>
    <w:rsid w:val="00A35A8D"/>
    <w:rsid w:val="00A410B0"/>
    <w:rsid w:val="00A4523C"/>
    <w:rsid w:val="00A540C8"/>
    <w:rsid w:val="00A6227A"/>
    <w:rsid w:val="00A638FA"/>
    <w:rsid w:val="00A63C34"/>
    <w:rsid w:val="00A7568A"/>
    <w:rsid w:val="00A81B02"/>
    <w:rsid w:val="00AA1A60"/>
    <w:rsid w:val="00AA44D4"/>
    <w:rsid w:val="00AB0EE8"/>
    <w:rsid w:val="00AC66C0"/>
    <w:rsid w:val="00AE06FD"/>
    <w:rsid w:val="00AF19DC"/>
    <w:rsid w:val="00AF5850"/>
    <w:rsid w:val="00AF5C27"/>
    <w:rsid w:val="00B336D8"/>
    <w:rsid w:val="00B33780"/>
    <w:rsid w:val="00B452EC"/>
    <w:rsid w:val="00B62BEA"/>
    <w:rsid w:val="00B66438"/>
    <w:rsid w:val="00B67D0F"/>
    <w:rsid w:val="00B77E0E"/>
    <w:rsid w:val="00B805E3"/>
    <w:rsid w:val="00B914FB"/>
    <w:rsid w:val="00B91C27"/>
    <w:rsid w:val="00B93565"/>
    <w:rsid w:val="00B94D66"/>
    <w:rsid w:val="00BA3007"/>
    <w:rsid w:val="00BA6533"/>
    <w:rsid w:val="00BB1676"/>
    <w:rsid w:val="00BC3ED8"/>
    <w:rsid w:val="00BD5689"/>
    <w:rsid w:val="00BE1C23"/>
    <w:rsid w:val="00BE257F"/>
    <w:rsid w:val="00BE3769"/>
    <w:rsid w:val="00BF352D"/>
    <w:rsid w:val="00BF38A9"/>
    <w:rsid w:val="00BF775D"/>
    <w:rsid w:val="00C211B4"/>
    <w:rsid w:val="00C30621"/>
    <w:rsid w:val="00C31EDF"/>
    <w:rsid w:val="00C368CF"/>
    <w:rsid w:val="00C37033"/>
    <w:rsid w:val="00C44A83"/>
    <w:rsid w:val="00C4676B"/>
    <w:rsid w:val="00C47082"/>
    <w:rsid w:val="00C53D3F"/>
    <w:rsid w:val="00C55243"/>
    <w:rsid w:val="00C66435"/>
    <w:rsid w:val="00C80B30"/>
    <w:rsid w:val="00C97F65"/>
    <w:rsid w:val="00CA36BD"/>
    <w:rsid w:val="00CA6F35"/>
    <w:rsid w:val="00CB2980"/>
    <w:rsid w:val="00CB4C37"/>
    <w:rsid w:val="00CC61B9"/>
    <w:rsid w:val="00CC661C"/>
    <w:rsid w:val="00CD31AD"/>
    <w:rsid w:val="00CE4816"/>
    <w:rsid w:val="00CF2034"/>
    <w:rsid w:val="00CF2483"/>
    <w:rsid w:val="00D00667"/>
    <w:rsid w:val="00D100C5"/>
    <w:rsid w:val="00D161B5"/>
    <w:rsid w:val="00D22C7E"/>
    <w:rsid w:val="00D23B9F"/>
    <w:rsid w:val="00D2625B"/>
    <w:rsid w:val="00D45DF0"/>
    <w:rsid w:val="00D551FD"/>
    <w:rsid w:val="00D57D57"/>
    <w:rsid w:val="00D768DB"/>
    <w:rsid w:val="00D94703"/>
    <w:rsid w:val="00D959A3"/>
    <w:rsid w:val="00D95A9A"/>
    <w:rsid w:val="00D97D62"/>
    <w:rsid w:val="00DA6165"/>
    <w:rsid w:val="00DB4E72"/>
    <w:rsid w:val="00DE0FB5"/>
    <w:rsid w:val="00DF1A81"/>
    <w:rsid w:val="00E05385"/>
    <w:rsid w:val="00E106DD"/>
    <w:rsid w:val="00E154FE"/>
    <w:rsid w:val="00E265C3"/>
    <w:rsid w:val="00E40E70"/>
    <w:rsid w:val="00E56911"/>
    <w:rsid w:val="00E717E7"/>
    <w:rsid w:val="00E82494"/>
    <w:rsid w:val="00E8731B"/>
    <w:rsid w:val="00E953C5"/>
    <w:rsid w:val="00EA181A"/>
    <w:rsid w:val="00EA2A55"/>
    <w:rsid w:val="00EB77D4"/>
    <w:rsid w:val="00EF1C3D"/>
    <w:rsid w:val="00EF2088"/>
    <w:rsid w:val="00EF770F"/>
    <w:rsid w:val="00F05665"/>
    <w:rsid w:val="00F109D0"/>
    <w:rsid w:val="00F13ADE"/>
    <w:rsid w:val="00F3683E"/>
    <w:rsid w:val="00F37ADA"/>
    <w:rsid w:val="00F400BF"/>
    <w:rsid w:val="00F40EAC"/>
    <w:rsid w:val="00F51D5E"/>
    <w:rsid w:val="00F606D0"/>
    <w:rsid w:val="00F62620"/>
    <w:rsid w:val="00F66BC3"/>
    <w:rsid w:val="00F724F2"/>
    <w:rsid w:val="00F861B8"/>
    <w:rsid w:val="00F9611F"/>
    <w:rsid w:val="00FA1D20"/>
    <w:rsid w:val="00FB4139"/>
    <w:rsid w:val="00FB4180"/>
    <w:rsid w:val="00FD3042"/>
    <w:rsid w:val="00FD32D7"/>
    <w:rsid w:val="00FD4B7A"/>
    <w:rsid w:val="00FE1F00"/>
    <w:rsid w:val="00FE2A0E"/>
    <w:rsid w:val="00FE6ABA"/>
    <w:rsid w:val="0A2D0E83"/>
    <w:rsid w:val="177F50ED"/>
    <w:rsid w:val="1EDC5093"/>
    <w:rsid w:val="53B52B8D"/>
    <w:rsid w:val="57EF6D83"/>
    <w:rsid w:val="5C8657D4"/>
    <w:rsid w:val="674D79A3"/>
    <w:rsid w:val="688447C2"/>
    <w:rsid w:val="6A3D585F"/>
    <w:rsid w:val="6DC402AD"/>
    <w:rsid w:val="75DB256A"/>
    <w:rsid w:val="77F79321"/>
    <w:rsid w:val="7CF990BE"/>
    <w:rsid w:val="7D2F5850"/>
    <w:rsid w:val="7ECA37B2"/>
    <w:rsid w:val="7EEB420C"/>
    <w:rsid w:val="7EFB8A4D"/>
    <w:rsid w:val="9F6E99AD"/>
    <w:rsid w:val="BBBF7779"/>
    <w:rsid w:val="D6FF7DD7"/>
    <w:rsid w:val="F56FD711"/>
    <w:rsid w:val="FA8FE961"/>
    <w:rsid w:val="FF7F58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0"/>
    <w:unhideWhenUsed/>
    <w:qFormat/>
    <w:uiPriority w:val="99"/>
    <w:pPr>
      <w:jc w:val="left"/>
    </w:pPr>
    <w:rPr>
      <w:rFonts w:ascii="Calibri" w:hAnsi="Calibri" w:eastAsia="仿宋" w:cs="Times New Roman"/>
    </w:rPr>
  </w:style>
  <w:style w:type="paragraph" w:styleId="5">
    <w:name w:val="Body Text"/>
    <w:basedOn w:val="1"/>
    <w:next w:val="1"/>
    <w:link w:val="18"/>
    <w:qFormat/>
    <w:uiPriority w:val="0"/>
    <w:pPr>
      <w:spacing w:after="120"/>
    </w:pPr>
    <w:rPr>
      <w:rFonts w:ascii="Calibri" w:hAnsi="Calibri" w:cs="Times New Roman"/>
      <w:szCs w:val="22"/>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rFonts w:ascii="Times New Roman" w:hAnsi="Times New Roman" w:cs="Times New Roman"/>
      <w:sz w:val="24"/>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Hyperlink"/>
    <w:basedOn w:val="11"/>
    <w:qFormat/>
    <w:uiPriority w:val="0"/>
    <w:rPr>
      <w:color w:val="0563C1" w:themeColor="hyperlink"/>
      <w:u w:val="single"/>
    </w:rPr>
  </w:style>
  <w:style w:type="paragraph" w:customStyle="1" w:styleId="13">
    <w:name w:val="null3"/>
    <w:hidden/>
    <w:qFormat/>
    <w:uiPriority w:val="0"/>
    <w:rPr>
      <w:rFonts w:hint="eastAsia" w:asciiTheme="minorHAnsi" w:hAnsiTheme="minorHAnsi" w:eastAsiaTheme="minorEastAsia" w:cstheme="minorBidi"/>
      <w:lang w:val="en-US" w:eastAsia="zh-CN" w:bidi="ar-SA"/>
    </w:rPr>
  </w:style>
  <w:style w:type="character" w:customStyle="1" w:styleId="14">
    <w:name w:val="页眉 字符"/>
    <w:basedOn w:val="11"/>
    <w:link w:val="7"/>
    <w:qFormat/>
    <w:uiPriority w:val="0"/>
    <w:rPr>
      <w:kern w:val="2"/>
      <w:sz w:val="18"/>
      <w:szCs w:val="18"/>
    </w:rPr>
  </w:style>
  <w:style w:type="character" w:customStyle="1" w:styleId="15">
    <w:name w:val="页脚 字符"/>
    <w:basedOn w:val="11"/>
    <w:link w:val="6"/>
    <w:qFormat/>
    <w:uiPriority w:val="99"/>
    <w:rPr>
      <w:kern w:val="2"/>
      <w:sz w:val="18"/>
      <w:szCs w:val="18"/>
    </w:rPr>
  </w:style>
  <w:style w:type="paragraph" w:customStyle="1" w:styleId="1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17">
    <w:name w:val="List Paragraph"/>
    <w:basedOn w:val="1"/>
    <w:unhideWhenUsed/>
    <w:qFormat/>
    <w:uiPriority w:val="99"/>
    <w:pPr>
      <w:ind w:firstLine="420" w:firstLineChars="200"/>
    </w:pPr>
  </w:style>
  <w:style w:type="character" w:customStyle="1" w:styleId="18">
    <w:name w:val="正文文本 字符"/>
    <w:basedOn w:val="11"/>
    <w:link w:val="5"/>
    <w:qFormat/>
    <w:uiPriority w:val="0"/>
    <w:rPr>
      <w:rFonts w:ascii="Calibri" w:hAnsi="Calibri" w:cs="Times New Roman"/>
      <w:kern w:val="2"/>
      <w:sz w:val="21"/>
      <w:szCs w:val="22"/>
    </w:rPr>
  </w:style>
  <w:style w:type="character" w:customStyle="1" w:styleId="19">
    <w:name w:val="批注文字 Char1"/>
    <w:qFormat/>
    <w:uiPriority w:val="99"/>
    <w:rPr>
      <w:rFonts w:ascii="Calibri" w:hAnsi="Calibri" w:eastAsia="仿宋" w:cs="Times New Roman"/>
      <w:kern w:val="2"/>
      <w:sz w:val="21"/>
      <w:szCs w:val="24"/>
    </w:rPr>
  </w:style>
  <w:style w:type="character" w:customStyle="1" w:styleId="20">
    <w:name w:val="批注文字 字符"/>
    <w:basedOn w:val="11"/>
    <w:link w:val="4"/>
    <w:qFormat/>
    <w:uiPriority w:val="0"/>
    <w:rPr>
      <w:kern w:val="2"/>
      <w:sz w:val="21"/>
      <w:szCs w:val="24"/>
    </w:rPr>
  </w:style>
  <w:style w:type="character" w:customStyle="1" w:styleId="21">
    <w:name w:val="标题 2 字符"/>
    <w:basedOn w:val="11"/>
    <w:link w:val="3"/>
    <w:qFormat/>
    <w:uiPriority w:val="0"/>
    <w:rPr>
      <w:rFonts w:asciiTheme="majorHAnsi" w:hAnsiTheme="majorHAnsi" w:eastAsiaTheme="majorEastAsia" w:cstheme="majorBidi"/>
      <w:b/>
      <w:bCs/>
      <w:kern w:val="2"/>
      <w:sz w:val="32"/>
      <w:szCs w:val="32"/>
    </w:rPr>
  </w:style>
  <w:style w:type="character" w:customStyle="1" w:styleId="22">
    <w:name w:val="标题 1 字符"/>
    <w:basedOn w:val="11"/>
    <w:link w:val="2"/>
    <w:qFormat/>
    <w:uiPriority w:val="0"/>
    <w:rPr>
      <w:b/>
      <w:bCs/>
      <w:kern w:val="44"/>
      <w:sz w:val="44"/>
      <w:szCs w:val="44"/>
    </w:rPr>
  </w:style>
  <w:style w:type="paragraph" w:customStyle="1" w:styleId="23">
    <w:name w:val="TOC 标题1"/>
    <w:basedOn w:val="2"/>
    <w:next w:val="1"/>
    <w:unhideWhenUsed/>
    <w:qFormat/>
    <w:uiPriority w:val="39"/>
    <w:pPr>
      <w:outlineLvl w:val="9"/>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58</Pages>
  <Words>6694</Words>
  <Characters>7195</Characters>
  <Lines>210</Lines>
  <Paragraphs>59</Paragraphs>
  <TotalTime>57</TotalTime>
  <ScaleCrop>false</ScaleCrop>
  <LinksUpToDate>false</LinksUpToDate>
  <CharactersWithSpaces>7421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2022-04-11T11:57:00Z</dcterms:created>
  <dc:creator>五块钱</dc:creator>
  <cp:lastModifiedBy>系统管理员</cp:lastModifiedBy>
  <dcterms:modified xsi:type="dcterms:W3CDTF">2026-01-29T06:14:20Z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4B51671D0BA544CC85722E4B4E3A321C_13</vt:lpwstr>
  </property>
  <property fmtid="{D5CDD505-2E9C-101B-9397-08002B2CF9AE}" pid="4" name="KSOTemplateDocerSaveRecord">
    <vt:lpwstr>eyJoZGlkIjoiMDJkY2IxYzVlNzQ0NGRmM2ZkMTllYzQ3OTlhYzhmYjAiLCJ1c2VySWQiOiI0MjM0MjIzMjQifQ==</vt:lpwstr>
  </property>
</Properties>
</file>